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Organization of online moot court, model UN sessions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digital brochures/check-lists for LLB students with prospective academic pathways; include qualification examinations, possible future majors to combine a law degree with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minors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etc. The brochures will be created under the supervision of the present experts, professors, etc.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Organization of seminars and round tables by KIMEP students for students of high school/other universities. Through these seminars students will be able to share their knowledge in a specific sphere and most importantly exchange experiences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Raise the academic activity of students of KIMEP School of Law, conduct the research competitions, and interesting lectures on academic research in the sphere of domestic and international law.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A37B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UhnsNqFyM83ZTA5lsAjh9kRbmQ==">AMUW2mU7MRkMnwHoBBE+S4GAvnsmgacGjfVpFrEDyjH8jShLKcDTRPCs6VlQ4GVfMUoqweLoxEXwJ94YFSnTBVRzL6fTCMqTThRwwkGG3eKPKizHsZ5GwP3lhuaglEUXxf5PlUDZei75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2020-10-16T05:22:00Z</dcterms:created>
  <dc:creator>Fariza Bekzhan</dc:creator>
</cp:coreProperties>
</file>