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BD" w:rsidRPr="0074218E" w:rsidRDefault="00A736BD" w:rsidP="00A736BD">
      <w:pPr>
        <w:jc w:val="center"/>
        <w:rPr>
          <w:rFonts w:ascii="Times New Roman" w:hAnsi="Times New Roman" w:cs="Times New Roman"/>
          <w:b/>
          <w:sz w:val="28"/>
          <w:szCs w:val="28"/>
        </w:rPr>
      </w:pPr>
      <w:r>
        <w:rPr>
          <w:rFonts w:ascii="Times New Roman" w:hAnsi="Times New Roman" w:cs="Times New Roman"/>
          <w:b/>
          <w:sz w:val="28"/>
          <w:szCs w:val="28"/>
        </w:rPr>
        <w:t>Exchange rate a</w:t>
      </w:r>
      <w:r w:rsidRPr="0074218E">
        <w:rPr>
          <w:rFonts w:ascii="Times New Roman" w:hAnsi="Times New Roman" w:cs="Times New Roman"/>
          <w:b/>
          <w:sz w:val="28"/>
          <w:szCs w:val="28"/>
        </w:rPr>
        <w:t xml:space="preserve">rrangements: Evidence from </w:t>
      </w:r>
    </w:p>
    <w:p w:rsidR="00A736BD" w:rsidRDefault="00A736BD" w:rsidP="00A736BD">
      <w:pPr>
        <w:jc w:val="center"/>
        <w:rPr>
          <w:rFonts w:ascii="Times New Roman" w:hAnsi="Times New Roman" w:cs="Times New Roman"/>
          <w:b/>
          <w:sz w:val="28"/>
          <w:szCs w:val="28"/>
        </w:rPr>
      </w:pPr>
      <w:r w:rsidRPr="0074218E">
        <w:rPr>
          <w:rFonts w:ascii="Times New Roman" w:hAnsi="Times New Roman" w:cs="Times New Roman"/>
          <w:b/>
          <w:sz w:val="28"/>
          <w:szCs w:val="28"/>
        </w:rPr>
        <w:t>Central Asian</w:t>
      </w:r>
      <w:r>
        <w:rPr>
          <w:rFonts w:ascii="Times New Roman" w:hAnsi="Times New Roman" w:cs="Times New Roman"/>
          <w:b/>
          <w:sz w:val="28"/>
          <w:szCs w:val="28"/>
        </w:rPr>
        <w:t xml:space="preserve"> c</w:t>
      </w:r>
      <w:r w:rsidRPr="0074218E">
        <w:rPr>
          <w:rFonts w:ascii="Times New Roman" w:hAnsi="Times New Roman" w:cs="Times New Roman"/>
          <w:b/>
          <w:sz w:val="28"/>
          <w:szCs w:val="28"/>
        </w:rPr>
        <w:t>ountries</w:t>
      </w:r>
    </w:p>
    <w:p w:rsidR="00A736BD" w:rsidRDefault="00A736BD" w:rsidP="00A736BD">
      <w:pPr>
        <w:jc w:val="center"/>
        <w:rPr>
          <w:rFonts w:ascii="Times New Roman" w:hAnsi="Times New Roman" w:cs="Times New Roman"/>
          <w:b/>
          <w:sz w:val="28"/>
          <w:szCs w:val="28"/>
        </w:rPr>
      </w:pPr>
    </w:p>
    <w:p w:rsidR="00A736BD" w:rsidRPr="000A2EDD" w:rsidRDefault="00A736BD" w:rsidP="00A736BD">
      <w:pPr>
        <w:jc w:val="center"/>
        <w:rPr>
          <w:rFonts w:ascii="Times New Roman" w:hAnsi="Times New Roman" w:cs="Times New Roman"/>
          <w:b/>
          <w:bCs/>
          <w:sz w:val="24"/>
        </w:rPr>
      </w:pPr>
      <w:proofErr w:type="spellStart"/>
      <w:r w:rsidRPr="000A2EDD">
        <w:rPr>
          <w:rFonts w:ascii="Times New Roman" w:hAnsi="Times New Roman" w:cs="Times New Roman" w:hint="eastAsia"/>
          <w:b/>
          <w:bCs/>
          <w:sz w:val="24"/>
        </w:rPr>
        <w:t>Bekzod</w:t>
      </w:r>
      <w:proofErr w:type="spellEnd"/>
      <w:r w:rsidRPr="000A2EDD">
        <w:rPr>
          <w:rFonts w:ascii="Times New Roman" w:hAnsi="Times New Roman" w:cs="Times New Roman" w:hint="eastAsia"/>
          <w:b/>
          <w:bCs/>
          <w:sz w:val="24"/>
        </w:rPr>
        <w:t xml:space="preserve"> </w:t>
      </w:r>
      <w:proofErr w:type="spellStart"/>
      <w:r w:rsidRPr="000A2EDD">
        <w:rPr>
          <w:rFonts w:ascii="Times New Roman" w:hAnsi="Times New Roman" w:cs="Times New Roman" w:hint="eastAsia"/>
          <w:b/>
          <w:bCs/>
          <w:sz w:val="24"/>
        </w:rPr>
        <w:t>Islamovich</w:t>
      </w:r>
      <w:proofErr w:type="spellEnd"/>
      <w:r w:rsidRPr="000A2EDD">
        <w:rPr>
          <w:rFonts w:ascii="Times New Roman" w:hAnsi="Times New Roman" w:cs="Times New Roman" w:hint="eastAsia"/>
          <w:b/>
          <w:bCs/>
          <w:sz w:val="24"/>
        </w:rPr>
        <w:t xml:space="preserve"> </w:t>
      </w:r>
      <w:proofErr w:type="spellStart"/>
      <w:r>
        <w:rPr>
          <w:rFonts w:ascii="Times New Roman" w:hAnsi="Times New Roman" w:cs="Times New Roman"/>
          <w:b/>
          <w:bCs/>
          <w:sz w:val="24"/>
        </w:rPr>
        <w:t>Shamshiev</w:t>
      </w:r>
      <w:proofErr w:type="spellEnd"/>
    </w:p>
    <w:p w:rsidR="00A736BD" w:rsidRDefault="00A736BD" w:rsidP="00A736BD">
      <w:pPr>
        <w:jc w:val="center"/>
        <w:rPr>
          <w:rFonts w:ascii="Times New Roman" w:hAnsi="Times New Roman" w:cs="Times New Roman"/>
          <w:b/>
          <w:sz w:val="24"/>
        </w:rPr>
      </w:pPr>
      <w:r>
        <w:rPr>
          <w:rFonts w:ascii="Times New Roman" w:hAnsi="Times New Roman" w:cs="Times New Roman"/>
          <w:b/>
          <w:sz w:val="24"/>
        </w:rPr>
        <w:t xml:space="preserve">Banking and </w:t>
      </w:r>
      <w:smartTag w:uri="urn:schemas-microsoft-com:office:smarttags" w:element="place">
        <w:smartTag w:uri="urn:schemas-microsoft-com:office:smarttags" w:element="City">
          <w:r>
            <w:rPr>
              <w:rFonts w:ascii="Times New Roman" w:hAnsi="Times New Roman" w:cs="Times New Roman"/>
              <w:b/>
              <w:sz w:val="24"/>
            </w:rPr>
            <w:t>Finance Academy</w:t>
          </w:r>
        </w:smartTag>
        <w:r>
          <w:rPr>
            <w:rFonts w:ascii="Times New Roman" w:hAnsi="Times New Roman" w:cs="Times New Roman"/>
            <w:b/>
            <w:sz w:val="24"/>
          </w:rPr>
          <w:t xml:space="preserve">, </w:t>
        </w:r>
        <w:smartTag w:uri="urn:schemas-microsoft-com:office:smarttags" w:element="country-region">
          <w:r>
            <w:rPr>
              <w:rFonts w:ascii="Times New Roman" w:hAnsi="Times New Roman" w:cs="Times New Roman"/>
              <w:b/>
              <w:sz w:val="24"/>
            </w:rPr>
            <w:t>Uzbekistan</w:t>
          </w:r>
        </w:smartTag>
      </w:smartTag>
    </w:p>
    <w:p w:rsidR="00A736BD" w:rsidRDefault="00A736BD" w:rsidP="00A736BD">
      <w:pPr>
        <w:jc w:val="center"/>
        <w:rPr>
          <w:rFonts w:ascii="Times New Roman" w:hAnsi="Times New Roman" w:cs="Times New Roman"/>
          <w:b/>
          <w:sz w:val="24"/>
        </w:rPr>
      </w:pPr>
      <w:r w:rsidRPr="00B02621">
        <w:rPr>
          <w:rFonts w:ascii="Times New Roman" w:hAnsi="Times New Roman" w:cs="Times New Roman"/>
          <w:b/>
          <w:i/>
          <w:sz w:val="24"/>
        </w:rPr>
        <w:t>Email:</w:t>
      </w:r>
      <w:r>
        <w:rPr>
          <w:rFonts w:ascii="Times New Roman" w:hAnsi="Times New Roman" w:cs="Times New Roman"/>
          <w:b/>
          <w:sz w:val="24"/>
        </w:rPr>
        <w:t xml:space="preserve"> </w:t>
      </w:r>
      <w:hyperlink r:id="rId7" w:history="1">
        <w:r w:rsidR="0047690F" w:rsidRPr="00550843">
          <w:rPr>
            <w:rStyle w:val="a7"/>
            <w:rFonts w:ascii="Times New Roman" w:hAnsi="Times New Roman" w:cs="Times New Roman"/>
            <w:b/>
            <w:sz w:val="24"/>
          </w:rPr>
          <w:t>sbekzod@yahoo.com</w:t>
        </w:r>
      </w:hyperlink>
    </w:p>
    <w:p w:rsidR="0047690F" w:rsidRDefault="0047690F" w:rsidP="00A736BD">
      <w:pPr>
        <w:jc w:val="center"/>
        <w:rPr>
          <w:rFonts w:ascii="Times New Roman" w:hAnsi="Times New Roman" w:cs="Times New Roman"/>
          <w:b/>
          <w:sz w:val="28"/>
          <w:szCs w:val="28"/>
        </w:rPr>
      </w:pPr>
      <w:r>
        <w:rPr>
          <w:rFonts w:ascii="Times New Roman" w:hAnsi="Times New Roman" w:cs="Times New Roman"/>
          <w:b/>
          <w:sz w:val="28"/>
          <w:szCs w:val="28"/>
        </w:rPr>
        <w:t>Central Asia Business Journal 7(1): 5-19</w:t>
      </w:r>
    </w:p>
    <w:p w:rsidR="0047690F" w:rsidRPr="0074218E" w:rsidRDefault="0047690F" w:rsidP="00A736BD">
      <w:pPr>
        <w:jc w:val="center"/>
        <w:rPr>
          <w:rFonts w:ascii="Times New Roman" w:hAnsi="Times New Roman" w:cs="Times New Roman"/>
          <w:b/>
          <w:sz w:val="28"/>
          <w:szCs w:val="28"/>
        </w:rPr>
      </w:pPr>
      <w:r>
        <w:rPr>
          <w:rFonts w:ascii="Times New Roman" w:hAnsi="Times New Roman" w:cs="Times New Roman"/>
          <w:b/>
          <w:sz w:val="28"/>
          <w:szCs w:val="28"/>
        </w:rPr>
        <w:t>Winter 2015</w:t>
      </w:r>
    </w:p>
    <w:p w:rsidR="00A736BD" w:rsidRDefault="00A736BD">
      <w:pPr>
        <w:widowControl/>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44513" w:rsidRPr="0074218E" w:rsidRDefault="00744513" w:rsidP="00744513">
      <w:pPr>
        <w:jc w:val="center"/>
        <w:rPr>
          <w:rFonts w:ascii="Times New Roman" w:hAnsi="Times New Roman" w:cs="Times New Roman"/>
          <w:b/>
          <w:sz w:val="28"/>
          <w:szCs w:val="28"/>
        </w:rPr>
      </w:pPr>
      <w:r>
        <w:rPr>
          <w:rFonts w:ascii="Times New Roman" w:hAnsi="Times New Roman" w:cs="Times New Roman"/>
          <w:b/>
          <w:sz w:val="28"/>
          <w:szCs w:val="28"/>
        </w:rPr>
        <w:lastRenderedPageBreak/>
        <w:t>Exchange rate a</w:t>
      </w:r>
      <w:r w:rsidRPr="0074218E">
        <w:rPr>
          <w:rFonts w:ascii="Times New Roman" w:hAnsi="Times New Roman" w:cs="Times New Roman"/>
          <w:b/>
          <w:sz w:val="28"/>
          <w:szCs w:val="28"/>
        </w:rPr>
        <w:t xml:space="preserve">rrangements: Evidence from </w:t>
      </w:r>
    </w:p>
    <w:p w:rsidR="00744513" w:rsidRDefault="00744513" w:rsidP="00744513">
      <w:pPr>
        <w:jc w:val="center"/>
        <w:rPr>
          <w:rFonts w:ascii="Times New Roman" w:hAnsi="Times New Roman" w:cs="Times New Roman"/>
          <w:b/>
          <w:sz w:val="28"/>
          <w:szCs w:val="28"/>
        </w:rPr>
      </w:pPr>
      <w:r w:rsidRPr="0074218E">
        <w:rPr>
          <w:rFonts w:ascii="Times New Roman" w:hAnsi="Times New Roman" w:cs="Times New Roman"/>
          <w:b/>
          <w:sz w:val="28"/>
          <w:szCs w:val="28"/>
        </w:rPr>
        <w:t>Central Asian</w:t>
      </w:r>
      <w:r>
        <w:rPr>
          <w:rFonts w:ascii="Times New Roman" w:hAnsi="Times New Roman" w:cs="Times New Roman"/>
          <w:b/>
          <w:sz w:val="28"/>
          <w:szCs w:val="28"/>
        </w:rPr>
        <w:t xml:space="preserve"> c</w:t>
      </w:r>
      <w:r w:rsidRPr="0074218E">
        <w:rPr>
          <w:rFonts w:ascii="Times New Roman" w:hAnsi="Times New Roman" w:cs="Times New Roman"/>
          <w:b/>
          <w:sz w:val="28"/>
          <w:szCs w:val="28"/>
        </w:rPr>
        <w:t>ountries</w:t>
      </w:r>
    </w:p>
    <w:p w:rsidR="00744513" w:rsidRDefault="00744513" w:rsidP="00744513">
      <w:pPr>
        <w:jc w:val="center"/>
        <w:rPr>
          <w:rFonts w:ascii="Times New Roman" w:hAnsi="Times New Roman" w:cs="Times New Roman"/>
          <w:b/>
          <w:sz w:val="28"/>
          <w:szCs w:val="28"/>
        </w:rPr>
      </w:pPr>
    </w:p>
    <w:p w:rsidR="00744513" w:rsidRPr="000A2EDD" w:rsidRDefault="00744513" w:rsidP="00744513">
      <w:pPr>
        <w:jc w:val="center"/>
        <w:rPr>
          <w:rFonts w:ascii="Times New Roman" w:hAnsi="Times New Roman" w:cs="Times New Roman"/>
          <w:b/>
          <w:bCs/>
          <w:sz w:val="24"/>
        </w:rPr>
      </w:pPr>
      <w:bookmarkStart w:id="0" w:name="OLE_LINK3"/>
      <w:proofErr w:type="spellStart"/>
      <w:r w:rsidRPr="000A2EDD">
        <w:rPr>
          <w:rFonts w:ascii="Times New Roman" w:hAnsi="Times New Roman" w:cs="Times New Roman" w:hint="eastAsia"/>
          <w:b/>
          <w:bCs/>
          <w:sz w:val="24"/>
        </w:rPr>
        <w:t>Bekzod</w:t>
      </w:r>
      <w:proofErr w:type="spellEnd"/>
      <w:r w:rsidRPr="000A2EDD">
        <w:rPr>
          <w:rFonts w:ascii="Times New Roman" w:hAnsi="Times New Roman" w:cs="Times New Roman" w:hint="eastAsia"/>
          <w:b/>
          <w:bCs/>
          <w:sz w:val="24"/>
        </w:rPr>
        <w:t xml:space="preserve"> </w:t>
      </w:r>
      <w:proofErr w:type="spellStart"/>
      <w:r w:rsidRPr="000A2EDD">
        <w:rPr>
          <w:rFonts w:ascii="Times New Roman" w:hAnsi="Times New Roman" w:cs="Times New Roman" w:hint="eastAsia"/>
          <w:b/>
          <w:bCs/>
          <w:sz w:val="24"/>
        </w:rPr>
        <w:t>Islamovich</w:t>
      </w:r>
      <w:bookmarkEnd w:id="0"/>
      <w:proofErr w:type="spellEnd"/>
      <w:r w:rsidRPr="000A2EDD">
        <w:rPr>
          <w:rFonts w:ascii="Times New Roman" w:hAnsi="Times New Roman" w:cs="Times New Roman" w:hint="eastAsia"/>
          <w:b/>
          <w:bCs/>
          <w:sz w:val="24"/>
        </w:rPr>
        <w:t xml:space="preserve"> </w:t>
      </w:r>
      <w:proofErr w:type="spellStart"/>
      <w:r>
        <w:rPr>
          <w:rFonts w:ascii="Times New Roman" w:hAnsi="Times New Roman" w:cs="Times New Roman"/>
          <w:b/>
          <w:bCs/>
          <w:sz w:val="24"/>
        </w:rPr>
        <w:t>Shamshiev</w:t>
      </w:r>
      <w:proofErr w:type="spellEnd"/>
    </w:p>
    <w:p w:rsidR="00744513" w:rsidRDefault="00744513" w:rsidP="00744513">
      <w:pPr>
        <w:jc w:val="center"/>
        <w:rPr>
          <w:rFonts w:ascii="Times New Roman" w:hAnsi="Times New Roman" w:cs="Times New Roman"/>
          <w:b/>
          <w:sz w:val="24"/>
        </w:rPr>
      </w:pPr>
      <w:bookmarkStart w:id="1" w:name="OLE_LINK4"/>
      <w:r>
        <w:rPr>
          <w:rFonts w:ascii="Times New Roman" w:hAnsi="Times New Roman" w:cs="Times New Roman"/>
          <w:b/>
          <w:sz w:val="24"/>
        </w:rPr>
        <w:t xml:space="preserve">Banking and </w:t>
      </w:r>
      <w:smartTag w:uri="urn:schemas-microsoft-com:office:smarttags" w:element="place">
        <w:smartTag w:uri="urn:schemas-microsoft-com:office:smarttags" w:element="City">
          <w:r>
            <w:rPr>
              <w:rFonts w:ascii="Times New Roman" w:hAnsi="Times New Roman" w:cs="Times New Roman"/>
              <w:b/>
              <w:sz w:val="24"/>
            </w:rPr>
            <w:t>Finance Academy</w:t>
          </w:r>
        </w:smartTag>
        <w:r>
          <w:rPr>
            <w:rFonts w:ascii="Times New Roman" w:hAnsi="Times New Roman" w:cs="Times New Roman"/>
            <w:b/>
            <w:sz w:val="24"/>
          </w:rPr>
          <w:t xml:space="preserve">, </w:t>
        </w:r>
        <w:smartTag w:uri="urn:schemas-microsoft-com:office:smarttags" w:element="country-region">
          <w:r>
            <w:rPr>
              <w:rFonts w:ascii="Times New Roman" w:hAnsi="Times New Roman" w:cs="Times New Roman"/>
              <w:b/>
              <w:sz w:val="24"/>
            </w:rPr>
            <w:t>Uzbekistan</w:t>
          </w:r>
        </w:smartTag>
      </w:smartTag>
    </w:p>
    <w:bookmarkEnd w:id="1"/>
    <w:p w:rsidR="00744513" w:rsidRPr="0074218E" w:rsidRDefault="00744513" w:rsidP="00744513">
      <w:pPr>
        <w:jc w:val="center"/>
        <w:rPr>
          <w:rFonts w:ascii="Times New Roman" w:hAnsi="Times New Roman" w:cs="Times New Roman"/>
          <w:b/>
          <w:sz w:val="28"/>
          <w:szCs w:val="28"/>
        </w:rPr>
      </w:pPr>
      <w:r w:rsidRPr="00B02621">
        <w:rPr>
          <w:rFonts w:ascii="Times New Roman" w:hAnsi="Times New Roman" w:cs="Times New Roman"/>
          <w:b/>
          <w:i/>
          <w:sz w:val="24"/>
        </w:rPr>
        <w:t>Email:</w:t>
      </w:r>
      <w:r>
        <w:rPr>
          <w:rFonts w:ascii="Times New Roman" w:hAnsi="Times New Roman" w:cs="Times New Roman"/>
          <w:b/>
          <w:sz w:val="24"/>
        </w:rPr>
        <w:t xml:space="preserve"> </w:t>
      </w:r>
      <w:r w:rsidRPr="00B02621">
        <w:rPr>
          <w:rFonts w:ascii="Times New Roman" w:hAnsi="Times New Roman" w:cs="Times New Roman"/>
          <w:b/>
          <w:sz w:val="24"/>
        </w:rPr>
        <w:t>sbekzod@yahoo.com</w:t>
      </w:r>
    </w:p>
    <w:p w:rsidR="00744513" w:rsidRPr="0074218E" w:rsidRDefault="00744513" w:rsidP="00744513">
      <w:pPr>
        <w:rPr>
          <w:rFonts w:ascii="Times New Roman" w:hAnsi="Times New Roman" w:cs="Times New Roman"/>
          <w:b/>
          <w:i/>
          <w:sz w:val="24"/>
        </w:rPr>
      </w:pPr>
    </w:p>
    <w:p w:rsidR="00744513" w:rsidRPr="0074218E" w:rsidRDefault="00744513" w:rsidP="00744513">
      <w:pPr>
        <w:rPr>
          <w:rFonts w:ascii="Times New Roman" w:hAnsi="Times New Roman" w:cs="Times New Roman"/>
          <w:b/>
          <w:i/>
          <w:sz w:val="24"/>
        </w:rPr>
      </w:pPr>
    </w:p>
    <w:p w:rsidR="00744513" w:rsidRPr="0074218E" w:rsidRDefault="00744513" w:rsidP="00744513">
      <w:pPr>
        <w:rPr>
          <w:rFonts w:ascii="Times New Roman" w:hAnsi="Times New Roman" w:cs="Times New Roman"/>
          <w:i/>
          <w:sz w:val="24"/>
        </w:rPr>
      </w:pPr>
      <w:r w:rsidRPr="0074218E">
        <w:rPr>
          <w:rFonts w:ascii="Times New Roman" w:hAnsi="Times New Roman" w:cs="Times New Roman"/>
          <w:b/>
          <w:i/>
          <w:sz w:val="24"/>
        </w:rPr>
        <w:t>Abstract:</w:t>
      </w:r>
      <w:r w:rsidRPr="0074218E">
        <w:rPr>
          <w:rFonts w:ascii="Times New Roman" w:hAnsi="Times New Roman" w:cs="Times New Roman"/>
          <w:i/>
          <w:sz w:val="24"/>
        </w:rPr>
        <w:t xml:space="preserve"> The five post-Soviet nations in Central Asia have followed their own monetary policies since introducing their own currencies in the early 1990s. This paper empirically studies exchange rate arrangements in Kazakhstan, Kyrgyzstan, Tajikistan, and Uzbekistan. It tests whether these exchange rates follow a basket of the world’s major currencies and, if so, which currencies especially influence the rates. Using a well-known Frankel and Wei methodology, the paper analyzes the influence of major currencies by estimating time-varying coefficients. The US dollar played an important role in exchange rates in the region over the period 1995-2014, although its influence has slightly declined.</w:t>
      </w:r>
    </w:p>
    <w:p w:rsidR="00744513" w:rsidRPr="0074218E" w:rsidRDefault="00744513" w:rsidP="00744513">
      <w:pPr>
        <w:rPr>
          <w:rFonts w:ascii="Times New Roman" w:hAnsi="Times New Roman" w:cs="Times New Roman"/>
          <w:i/>
          <w:iCs/>
          <w:sz w:val="24"/>
        </w:rPr>
      </w:pPr>
    </w:p>
    <w:p w:rsidR="00744513" w:rsidRPr="0074218E" w:rsidRDefault="00744513" w:rsidP="00744513">
      <w:pPr>
        <w:rPr>
          <w:rFonts w:ascii="Times New Roman" w:hAnsi="Times New Roman" w:cs="Times New Roman"/>
          <w:i/>
          <w:sz w:val="24"/>
        </w:rPr>
      </w:pPr>
      <w:r w:rsidRPr="0074218E">
        <w:rPr>
          <w:rFonts w:ascii="Times New Roman" w:hAnsi="Times New Roman" w:cs="Times New Roman"/>
          <w:b/>
          <w:i/>
          <w:iCs/>
          <w:sz w:val="24"/>
        </w:rPr>
        <w:t>Key words:</w:t>
      </w:r>
      <w:r w:rsidRPr="0074218E">
        <w:rPr>
          <w:rFonts w:ascii="Times New Roman" w:hAnsi="Times New Roman" w:cs="Times New Roman"/>
          <w:i/>
          <w:sz w:val="24"/>
        </w:rPr>
        <w:t xml:space="preserve"> exchange rate arrangements, monetary policy, exchange rate flexibility</w:t>
      </w:r>
      <w:r>
        <w:rPr>
          <w:rFonts w:ascii="Times New Roman" w:hAnsi="Times New Roman" w:cs="Times New Roman"/>
          <w:i/>
          <w:sz w:val="24"/>
        </w:rPr>
        <w:t>, time-varying coefficients</w:t>
      </w:r>
    </w:p>
    <w:p w:rsidR="00744513" w:rsidRPr="0074218E" w:rsidRDefault="00744513" w:rsidP="00744513">
      <w:pPr>
        <w:rPr>
          <w:rFonts w:ascii="Times New Roman" w:hAnsi="Times New Roman" w:cs="Times New Roman"/>
          <w:b/>
          <w:sz w:val="28"/>
          <w:szCs w:val="28"/>
        </w:rPr>
      </w:pPr>
    </w:p>
    <w:p w:rsidR="00744513" w:rsidRPr="0074218E" w:rsidRDefault="00744513" w:rsidP="00744513">
      <w:pPr>
        <w:rPr>
          <w:rFonts w:ascii="Times New Roman" w:hAnsi="Times New Roman" w:cs="Times New Roman"/>
          <w:b/>
          <w:sz w:val="28"/>
          <w:szCs w:val="28"/>
        </w:rPr>
      </w:pPr>
      <w:r w:rsidRPr="0074218E">
        <w:rPr>
          <w:rFonts w:ascii="Times New Roman" w:hAnsi="Times New Roman" w:cs="Times New Roman"/>
          <w:b/>
          <w:sz w:val="28"/>
          <w:szCs w:val="28"/>
        </w:rPr>
        <w:t>1. Introduction</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lang w:eastAsia="zh-CN"/>
        </w:rPr>
        <w:t xml:space="preserve">After the collapse of </w:t>
      </w:r>
      <w:r w:rsidRPr="0074218E">
        <w:rPr>
          <w:rFonts w:ascii="Times New Roman" w:hAnsi="Times New Roman" w:cs="Times New Roman"/>
          <w:sz w:val="24"/>
        </w:rPr>
        <w:t xml:space="preserve">the </w:t>
      </w:r>
      <w:r w:rsidRPr="0074218E">
        <w:rPr>
          <w:rFonts w:ascii="Times New Roman" w:hAnsi="Times New Roman" w:cs="Times New Roman"/>
          <w:sz w:val="24"/>
          <w:lang w:eastAsia="zh-CN"/>
        </w:rPr>
        <w:t xml:space="preserve">Soviet Union </w:t>
      </w:r>
      <w:r w:rsidRPr="0074218E">
        <w:rPr>
          <w:rFonts w:ascii="Times New Roman" w:hAnsi="Times New Roman" w:cs="Times New Roman"/>
          <w:sz w:val="24"/>
        </w:rPr>
        <w:t>in 1991, most of</w:t>
      </w:r>
      <w:r w:rsidRPr="0074218E">
        <w:rPr>
          <w:rFonts w:ascii="Times New Roman" w:hAnsi="Times New Roman" w:cs="Times New Roman"/>
          <w:sz w:val="24"/>
          <w:lang w:eastAsia="zh-CN"/>
        </w:rPr>
        <w:t xml:space="preserve"> the former Soviet republics introduced their own currencies</w:t>
      </w:r>
      <w:r w:rsidRPr="0074218E">
        <w:rPr>
          <w:rFonts w:ascii="Times New Roman" w:hAnsi="Times New Roman" w:cs="Times New Roman"/>
          <w:sz w:val="24"/>
        </w:rPr>
        <w:t xml:space="preserve"> </w:t>
      </w:r>
      <w:proofErr w:type="gramStart"/>
      <w:r w:rsidRPr="0074218E">
        <w:rPr>
          <w:rFonts w:ascii="Times New Roman" w:hAnsi="Times New Roman" w:cs="Times New Roman"/>
          <w:sz w:val="24"/>
        </w:rPr>
        <w:t>in an attempt</w:t>
      </w:r>
      <w:r w:rsidRPr="0074218E">
        <w:rPr>
          <w:rFonts w:ascii="Times New Roman" w:hAnsi="Times New Roman" w:cs="Times New Roman"/>
          <w:sz w:val="24"/>
          <w:lang w:eastAsia="zh-CN"/>
        </w:rPr>
        <w:t xml:space="preserve"> to</w:t>
      </w:r>
      <w:proofErr w:type="gramEnd"/>
      <w:r w:rsidRPr="0074218E">
        <w:rPr>
          <w:rFonts w:ascii="Times New Roman" w:hAnsi="Times New Roman" w:cs="Times New Roman"/>
          <w:sz w:val="24"/>
          <w:lang w:eastAsia="zh-CN"/>
        </w:rPr>
        <w:t xml:space="preserve"> get rid of</w:t>
      </w:r>
      <w:r w:rsidRPr="0074218E">
        <w:rPr>
          <w:rFonts w:ascii="Times New Roman" w:hAnsi="Times New Roman" w:cs="Times New Roman"/>
          <w:sz w:val="24"/>
        </w:rPr>
        <w:t xml:space="preserve"> the influence of the</w:t>
      </w:r>
      <w:r w:rsidRPr="0074218E">
        <w:rPr>
          <w:rFonts w:ascii="Times New Roman" w:hAnsi="Times New Roman" w:cs="Times New Roman"/>
          <w:sz w:val="24"/>
          <w:lang w:eastAsia="zh-CN"/>
        </w:rPr>
        <w:t xml:space="preserve"> Russian ruble.</w:t>
      </w:r>
      <w:r w:rsidRPr="0074218E">
        <w:rPr>
          <w:rFonts w:ascii="Times New Roman" w:hAnsi="Times New Roman" w:cs="Times New Roman"/>
          <w:sz w:val="24"/>
        </w:rPr>
        <w:t xml:space="preserve"> In</w:t>
      </w:r>
      <w:r w:rsidRPr="0074218E">
        <w:rPr>
          <w:rFonts w:ascii="Times New Roman" w:hAnsi="Times New Roman" w:cs="Times New Roman"/>
          <w:sz w:val="24"/>
          <w:lang w:eastAsia="zh-CN"/>
        </w:rPr>
        <w:t xml:space="preserve"> Central Asia</w:t>
      </w:r>
      <w:r w:rsidRPr="0074218E">
        <w:rPr>
          <w:rFonts w:ascii="Times New Roman" w:hAnsi="Times New Roman" w:cs="Times New Roman"/>
          <w:sz w:val="24"/>
        </w:rPr>
        <w:t>,</w:t>
      </w:r>
      <w:r w:rsidRPr="0074218E">
        <w:rPr>
          <w:rFonts w:ascii="Times New Roman" w:hAnsi="Times New Roman" w:cs="Times New Roman"/>
          <w:sz w:val="24"/>
          <w:lang w:eastAsia="zh-CN"/>
        </w:rPr>
        <w:t xml:space="preserve"> Kyrgyzstan was the first country to adopt its own currency, in May 1993.  It was followed by Kazakhstan and Turkmenistan in November 1993; Uzbekistan in July 1994; and Tajikistan in May 1995.</w:t>
      </w:r>
    </w:p>
    <w:p w:rsidR="00744513" w:rsidRPr="0074218E" w:rsidRDefault="00744513" w:rsidP="00744513">
      <w:pPr>
        <w:ind w:firstLine="840"/>
        <w:rPr>
          <w:rFonts w:ascii="Times New Roman" w:hAnsi="Times New Roman" w:cs="Times New Roman"/>
          <w:sz w:val="24"/>
          <w:lang w:eastAsia="zh-CN"/>
        </w:rPr>
      </w:pPr>
      <w:r w:rsidRPr="0074218E">
        <w:rPr>
          <w:rFonts w:ascii="Times New Roman" w:hAnsi="Times New Roman" w:cs="Times New Roman"/>
          <w:sz w:val="24"/>
        </w:rPr>
        <w:t>This</w:t>
      </w:r>
      <w:r w:rsidRPr="0074218E">
        <w:rPr>
          <w:rFonts w:ascii="Times New Roman" w:hAnsi="Times New Roman" w:cs="Times New Roman"/>
          <w:sz w:val="24"/>
          <w:lang w:eastAsia="zh-CN"/>
        </w:rPr>
        <w:t xml:space="preserve"> paper </w:t>
      </w:r>
      <w:r>
        <w:rPr>
          <w:rFonts w:ascii="Times New Roman" w:hAnsi="Times New Roman" w:cs="Times New Roman"/>
          <w:sz w:val="24"/>
          <w:lang w:eastAsia="zh-CN"/>
        </w:rPr>
        <w:t>analyz</w:t>
      </w:r>
      <w:r w:rsidRPr="0074218E">
        <w:rPr>
          <w:rFonts w:ascii="Times New Roman" w:hAnsi="Times New Roman" w:cs="Times New Roman"/>
          <w:sz w:val="24"/>
          <w:lang w:eastAsia="zh-CN"/>
        </w:rPr>
        <w:t>es how the US dollar and the ruble have influenced exchange rates in Kyrgyzstan, Kazakhstan, Tajikistan and Uzbekistan.</w:t>
      </w:r>
      <w:r w:rsidRPr="0074218E">
        <w:rPr>
          <w:rStyle w:val="ab"/>
          <w:rFonts w:ascii="Times New Roman" w:hAnsi="Times New Roman" w:cs="Times New Roman"/>
          <w:sz w:val="24"/>
          <w:lang w:eastAsia="zh-CN"/>
        </w:rPr>
        <w:footnoteReference w:id="1"/>
      </w:r>
    </w:p>
    <w:p w:rsidR="00744513" w:rsidRPr="0074218E" w:rsidRDefault="00744513" w:rsidP="00744513">
      <w:pPr>
        <w:ind w:firstLine="840"/>
        <w:rPr>
          <w:rFonts w:ascii="Times New Roman" w:hAnsi="Times New Roman" w:cs="Times New Roman"/>
          <w:sz w:val="24"/>
          <w:lang w:eastAsia="zh-CN"/>
        </w:rPr>
      </w:pPr>
      <w:r w:rsidRPr="0074218E">
        <w:rPr>
          <w:rFonts w:ascii="Times New Roman" w:hAnsi="Times New Roman" w:cs="Times New Roman"/>
          <w:sz w:val="24"/>
          <w:lang w:eastAsia="zh-CN"/>
        </w:rPr>
        <w:t xml:space="preserve">Related studies of the </w:t>
      </w:r>
      <w:r w:rsidRPr="0074218E">
        <w:rPr>
          <w:rFonts w:ascii="Times New Roman" w:hAnsi="Times New Roman" w:cs="Times New Roman"/>
          <w:sz w:val="24"/>
        </w:rPr>
        <w:t xml:space="preserve">Commonwealth of Independent States (CIS) include </w:t>
      </w:r>
      <w:r w:rsidRPr="0074218E">
        <w:rPr>
          <w:rFonts w:ascii="Times New Roman" w:hAnsi="Times New Roman" w:cs="Times New Roman"/>
          <w:sz w:val="24"/>
          <w:lang w:eastAsia="zh-CN"/>
        </w:rPr>
        <w:t xml:space="preserve">Pastor and Damjanovic (2001), on the effect of </w:t>
      </w:r>
      <w:r w:rsidRPr="0074218E">
        <w:rPr>
          <w:rFonts w:ascii="Times New Roman" w:hAnsi="Times New Roman" w:cs="Times New Roman"/>
          <w:sz w:val="24"/>
        </w:rPr>
        <w:t xml:space="preserve">the </w:t>
      </w:r>
      <w:r w:rsidRPr="0074218E">
        <w:rPr>
          <w:rFonts w:ascii="Times New Roman" w:hAnsi="Times New Roman" w:cs="Times New Roman"/>
          <w:sz w:val="24"/>
          <w:lang w:eastAsia="zh-CN"/>
        </w:rPr>
        <w:t xml:space="preserve">Russian financial crisis on Central Asian countries and their responses </w:t>
      </w:r>
      <w:r w:rsidRPr="0074218E">
        <w:rPr>
          <w:rFonts w:ascii="Times New Roman" w:hAnsi="Times New Roman" w:cs="Times New Roman"/>
          <w:sz w:val="24"/>
        </w:rPr>
        <w:t xml:space="preserve">in </w:t>
      </w:r>
      <w:r>
        <w:rPr>
          <w:rFonts w:ascii="Times New Roman" w:hAnsi="Times New Roman" w:cs="Times New Roman"/>
          <w:sz w:val="24"/>
          <w:lang w:eastAsia="zh-CN"/>
        </w:rPr>
        <w:t xml:space="preserve">1998-1999. A sharp devaluation of the ruble against the dollar led to a sharp decrease in exports of Central Asian countries to their major trading partner, Russia. To mitigate the consequences of the Russian financial crisis, and to keep their own economies competitive, some countries devalued their nominal exchange rates -- in particular, </w:t>
      </w:r>
      <w:r w:rsidRPr="0074218E">
        <w:rPr>
          <w:rFonts w:ascii="Times New Roman" w:hAnsi="Times New Roman" w:cs="Times New Roman"/>
          <w:sz w:val="24"/>
          <w:lang w:eastAsia="zh-CN"/>
        </w:rPr>
        <w:t>Kyrgyzstan, Kazakhstan</w:t>
      </w:r>
      <w:r>
        <w:rPr>
          <w:rFonts w:ascii="Times New Roman" w:hAnsi="Times New Roman" w:cs="Times New Roman"/>
          <w:sz w:val="24"/>
          <w:lang w:eastAsia="zh-CN"/>
        </w:rPr>
        <w:t xml:space="preserve"> and</w:t>
      </w:r>
      <w:r w:rsidRPr="0074218E">
        <w:rPr>
          <w:rFonts w:ascii="Times New Roman" w:hAnsi="Times New Roman" w:cs="Times New Roman"/>
          <w:sz w:val="24"/>
          <w:lang w:eastAsia="zh-CN"/>
        </w:rPr>
        <w:t xml:space="preserve"> Tajikistan</w:t>
      </w:r>
      <w:r>
        <w:rPr>
          <w:rFonts w:ascii="Times New Roman" w:hAnsi="Times New Roman" w:cs="Times New Roman"/>
          <w:sz w:val="24"/>
          <w:lang w:eastAsia="zh-CN"/>
        </w:rPr>
        <w:t xml:space="preserve"> (Pastor and Damjanovic, 2001).</w:t>
      </w:r>
      <w:r w:rsidRPr="0074218E">
        <w:rPr>
          <w:rFonts w:ascii="Times New Roman" w:hAnsi="Times New Roman" w:cs="Times New Roman"/>
          <w:b/>
          <w:sz w:val="24"/>
          <w:lang w:eastAsia="zh-CN"/>
        </w:rPr>
        <w:t xml:space="preserve"> </w:t>
      </w:r>
      <w:r w:rsidRPr="0074218E">
        <w:rPr>
          <w:rFonts w:ascii="Times New Roman" w:hAnsi="Times New Roman" w:cs="Times New Roman"/>
          <w:sz w:val="24"/>
          <w:lang w:eastAsia="zh-CN"/>
        </w:rPr>
        <w:t>M</w:t>
      </w:r>
      <w:r w:rsidRPr="0074218E">
        <w:rPr>
          <w:rFonts w:ascii="Times New Roman" w:hAnsi="Times New Roman" w:cs="Times New Roman"/>
          <w:sz w:val="24"/>
        </w:rPr>
        <w:t xml:space="preserve">ost CIS countries manage </w:t>
      </w:r>
      <w:r>
        <w:rPr>
          <w:rFonts w:ascii="Times New Roman" w:hAnsi="Times New Roman" w:cs="Times New Roman"/>
          <w:sz w:val="24"/>
        </w:rPr>
        <w:t>their</w:t>
      </w:r>
      <w:r w:rsidRPr="0074218E">
        <w:rPr>
          <w:rFonts w:ascii="Times New Roman" w:hAnsi="Times New Roman" w:cs="Times New Roman"/>
          <w:sz w:val="24"/>
        </w:rPr>
        <w:t xml:space="preserve"> exchange rates, due to dollarization (Keller and Richardson, 2003). Dollarization increases their financial vulnerability as well as their fear of floating currencies, and it is not easily reversed.</w:t>
      </w:r>
      <w:r w:rsidRPr="0074218E">
        <w:rPr>
          <w:rFonts w:ascii="Times New Roman" w:hAnsi="Times New Roman" w:cs="Times New Roman"/>
          <w:sz w:val="24"/>
          <w:lang w:eastAsia="zh-CN"/>
        </w:rPr>
        <w:t xml:space="preserve"> </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Although national currencies in Central Asia </w:t>
      </w:r>
      <w:r>
        <w:rPr>
          <w:rFonts w:ascii="Times New Roman" w:hAnsi="Times New Roman" w:cs="Times New Roman"/>
          <w:sz w:val="24"/>
        </w:rPr>
        <w:t xml:space="preserve">are </w:t>
      </w:r>
      <w:r w:rsidRPr="0074218E">
        <w:rPr>
          <w:rFonts w:ascii="Times New Roman" w:hAnsi="Times New Roman" w:cs="Times New Roman"/>
          <w:sz w:val="24"/>
        </w:rPr>
        <w:t>largely dollariz</w:t>
      </w:r>
      <w:r>
        <w:rPr>
          <w:rFonts w:ascii="Times New Roman" w:hAnsi="Times New Roman" w:cs="Times New Roman"/>
          <w:sz w:val="24"/>
        </w:rPr>
        <w:t>ed</w:t>
      </w:r>
      <w:r w:rsidRPr="0074218E">
        <w:rPr>
          <w:rFonts w:ascii="Times New Roman" w:hAnsi="Times New Roman" w:cs="Times New Roman"/>
          <w:sz w:val="24"/>
          <w:lang w:eastAsia="zh-CN"/>
        </w:rPr>
        <w:t>, the economic growth of Russia during the 2000s</w:t>
      </w:r>
      <w:r w:rsidRPr="0074218E">
        <w:rPr>
          <w:rStyle w:val="ab"/>
          <w:rFonts w:ascii="Times New Roman" w:hAnsi="Times New Roman" w:cs="Times New Roman"/>
          <w:sz w:val="24"/>
          <w:lang w:eastAsia="zh-CN"/>
        </w:rPr>
        <w:footnoteReference w:id="2"/>
      </w:r>
      <w:r w:rsidRPr="0074218E">
        <w:rPr>
          <w:rFonts w:ascii="Times New Roman" w:hAnsi="Times New Roman" w:cs="Times New Roman"/>
          <w:sz w:val="24"/>
        </w:rPr>
        <w:t xml:space="preserve"> and the growing </w:t>
      </w:r>
      <w:r w:rsidRPr="0074218E">
        <w:rPr>
          <w:rFonts w:ascii="Times New Roman" w:hAnsi="Times New Roman" w:cs="Times New Roman"/>
          <w:sz w:val="24"/>
          <w:lang w:eastAsia="zh-CN"/>
        </w:rPr>
        <w:t xml:space="preserve">trade </w:t>
      </w:r>
      <w:r w:rsidRPr="0074218E">
        <w:rPr>
          <w:rFonts w:ascii="Times New Roman" w:hAnsi="Times New Roman" w:cs="Times New Roman"/>
          <w:sz w:val="24"/>
        </w:rPr>
        <w:t xml:space="preserve">within the </w:t>
      </w:r>
      <w:r w:rsidRPr="0074218E">
        <w:rPr>
          <w:rFonts w:ascii="Times New Roman" w:hAnsi="Times New Roman" w:cs="Times New Roman"/>
          <w:sz w:val="24"/>
          <w:lang w:eastAsia="zh-CN"/>
        </w:rPr>
        <w:t>CIS</w:t>
      </w:r>
      <w:r w:rsidRPr="0074218E">
        <w:rPr>
          <w:rFonts w:ascii="Times New Roman" w:hAnsi="Times New Roman" w:cs="Times New Roman"/>
          <w:sz w:val="24"/>
        </w:rPr>
        <w:t xml:space="preserve"> might cause the ruble to become more influential in Central Asia as</w:t>
      </w:r>
      <w:r w:rsidRPr="0074218E">
        <w:rPr>
          <w:rFonts w:ascii="Times New Roman" w:hAnsi="Times New Roman" w:cs="Times New Roman"/>
          <w:sz w:val="24"/>
          <w:lang w:eastAsia="zh-CN"/>
        </w:rPr>
        <w:t xml:space="preserve"> </w:t>
      </w:r>
      <w:r w:rsidRPr="0074218E">
        <w:rPr>
          <w:rFonts w:ascii="Times New Roman" w:hAnsi="Times New Roman" w:cs="Times New Roman"/>
          <w:sz w:val="24"/>
        </w:rPr>
        <w:t xml:space="preserve">a </w:t>
      </w:r>
      <w:r w:rsidRPr="0074218E">
        <w:rPr>
          <w:rFonts w:ascii="Times New Roman" w:hAnsi="Times New Roman" w:cs="Times New Roman"/>
          <w:sz w:val="24"/>
          <w:lang w:eastAsia="zh-CN"/>
        </w:rPr>
        <w:t>nominal anchor</w:t>
      </w:r>
      <w:r w:rsidRPr="0074218E">
        <w:rPr>
          <w:rFonts w:ascii="Times New Roman" w:hAnsi="Times New Roman" w:cs="Times New Roman"/>
          <w:sz w:val="24"/>
        </w:rPr>
        <w:t>.</w:t>
      </w:r>
      <w:r w:rsidRPr="0074218E">
        <w:rPr>
          <w:rFonts w:ascii="Times New Roman" w:hAnsi="Times New Roman" w:cs="Times New Roman"/>
          <w:sz w:val="24"/>
          <w:lang w:eastAsia="zh-CN"/>
        </w:rPr>
        <w:t xml:space="preserve"> </w:t>
      </w:r>
      <w:r w:rsidRPr="0074218E">
        <w:rPr>
          <w:rFonts w:ascii="Times New Roman" w:hAnsi="Times New Roman" w:cs="Times New Roman"/>
          <w:sz w:val="24"/>
        </w:rPr>
        <w:t>To verify such a trend</w:t>
      </w:r>
      <w:r w:rsidRPr="0074218E">
        <w:rPr>
          <w:rFonts w:ascii="Times New Roman" w:hAnsi="Times New Roman" w:cs="Times New Roman"/>
          <w:sz w:val="24"/>
          <w:lang w:eastAsia="zh-CN"/>
        </w:rPr>
        <w:t xml:space="preserve">, one must </w:t>
      </w:r>
      <w:r w:rsidRPr="0074218E">
        <w:rPr>
          <w:rFonts w:ascii="Times New Roman" w:hAnsi="Times New Roman" w:cs="Times New Roman"/>
          <w:sz w:val="24"/>
        </w:rPr>
        <w:t>examine how the</w:t>
      </w:r>
      <w:r w:rsidRPr="0074218E">
        <w:rPr>
          <w:rFonts w:ascii="Times New Roman" w:hAnsi="Times New Roman" w:cs="Times New Roman"/>
          <w:sz w:val="24"/>
          <w:lang w:eastAsia="zh-CN"/>
        </w:rPr>
        <w:t xml:space="preserve"> ruble </w:t>
      </w:r>
      <w:r w:rsidRPr="0074218E">
        <w:rPr>
          <w:rFonts w:ascii="Times New Roman" w:hAnsi="Times New Roman" w:cs="Times New Roman"/>
          <w:sz w:val="24"/>
        </w:rPr>
        <w:t>and the dollar have affected each</w:t>
      </w:r>
      <w:r w:rsidRPr="0074218E">
        <w:rPr>
          <w:rFonts w:ascii="Times New Roman" w:hAnsi="Times New Roman" w:cs="Times New Roman"/>
          <w:sz w:val="24"/>
          <w:lang w:eastAsia="zh-CN"/>
        </w:rPr>
        <w:t xml:space="preserve"> currency</w:t>
      </w:r>
      <w:r w:rsidRPr="0074218E">
        <w:rPr>
          <w:rFonts w:ascii="Times New Roman" w:hAnsi="Times New Roman" w:cs="Times New Roman"/>
          <w:sz w:val="24"/>
        </w:rPr>
        <w:t xml:space="preserve"> in Central Asia</w:t>
      </w:r>
      <w:r w:rsidRPr="0074218E">
        <w:rPr>
          <w:rFonts w:ascii="Times New Roman" w:hAnsi="Times New Roman" w:cs="Times New Roman"/>
          <w:sz w:val="24"/>
          <w:lang w:eastAsia="zh-CN"/>
        </w:rPr>
        <w:t>.</w:t>
      </w:r>
      <w:r w:rsidRPr="0074218E">
        <w:rPr>
          <w:rFonts w:ascii="Times New Roman" w:hAnsi="Times New Roman" w:cs="Times New Roman"/>
          <w:sz w:val="24"/>
        </w:rPr>
        <w:t xml:space="preserve"> To the best of my knowledge, there are no other empirical studies of the degree of influence exerted by the ruble and the dollar over the region’s currencies. </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lastRenderedPageBreak/>
        <w:t>This paper measures</w:t>
      </w:r>
      <w:r w:rsidRPr="0074218E">
        <w:rPr>
          <w:rFonts w:ascii="Times New Roman" w:hAnsi="Times New Roman" w:cs="Times New Roman"/>
          <w:sz w:val="24"/>
          <w:lang w:eastAsia="zh-CN"/>
        </w:rPr>
        <w:t xml:space="preserve"> the degree of influence </w:t>
      </w:r>
      <w:r w:rsidRPr="0074218E">
        <w:rPr>
          <w:rFonts w:ascii="Times New Roman" w:hAnsi="Times New Roman" w:cs="Times New Roman"/>
          <w:sz w:val="24"/>
        </w:rPr>
        <w:t xml:space="preserve">of the two major currencies by applying a model of </w:t>
      </w:r>
      <w:r w:rsidRPr="0074218E">
        <w:rPr>
          <w:rFonts w:ascii="Times New Roman" w:hAnsi="Times New Roman" w:cs="Times New Roman"/>
          <w:sz w:val="24"/>
          <w:lang w:eastAsia="zh-CN"/>
        </w:rPr>
        <w:t>Ordinary Least Squares (OLS)</w:t>
      </w:r>
      <w:r w:rsidRPr="0074218E">
        <w:rPr>
          <w:rFonts w:ascii="Times New Roman" w:hAnsi="Times New Roman" w:cs="Times New Roman"/>
          <w:sz w:val="24"/>
        </w:rPr>
        <w:t xml:space="preserve"> developed by </w:t>
      </w:r>
      <w:r w:rsidRPr="0074218E">
        <w:rPr>
          <w:rFonts w:ascii="Times New Roman" w:hAnsi="Times New Roman" w:cs="Times New Roman"/>
          <w:sz w:val="24"/>
          <w:lang w:eastAsia="zh-CN"/>
        </w:rPr>
        <w:t xml:space="preserve">Frankel and Wei (1994, 2007) </w:t>
      </w:r>
      <w:r w:rsidRPr="0074218E">
        <w:rPr>
          <w:rFonts w:ascii="Times New Roman" w:hAnsi="Times New Roman" w:cs="Times New Roman"/>
          <w:sz w:val="24"/>
        </w:rPr>
        <w:t>to</w:t>
      </w:r>
      <w:r w:rsidRPr="0074218E">
        <w:rPr>
          <w:rFonts w:ascii="Times New Roman" w:hAnsi="Times New Roman" w:cs="Times New Roman"/>
          <w:sz w:val="24"/>
          <w:lang w:eastAsia="zh-CN"/>
        </w:rPr>
        <w:t xml:space="preserve"> </w:t>
      </w:r>
      <w:r w:rsidRPr="0074218E">
        <w:rPr>
          <w:rFonts w:ascii="Times New Roman" w:hAnsi="Times New Roman" w:cs="Times New Roman"/>
          <w:sz w:val="24"/>
        </w:rPr>
        <w:t>examine</w:t>
      </w:r>
      <w:r w:rsidRPr="0074218E">
        <w:rPr>
          <w:rFonts w:ascii="Times New Roman" w:hAnsi="Times New Roman" w:cs="Times New Roman"/>
          <w:sz w:val="24"/>
          <w:lang w:eastAsia="zh-CN"/>
        </w:rPr>
        <w:t xml:space="preserve"> exchange rate policies in East Asia. </w:t>
      </w:r>
      <w:r w:rsidRPr="0074218E">
        <w:rPr>
          <w:rFonts w:ascii="Times New Roman" w:hAnsi="Times New Roman" w:cs="Times New Roman"/>
          <w:sz w:val="24"/>
        </w:rPr>
        <w:t xml:space="preserve">Moreover, </w:t>
      </w:r>
      <w:r w:rsidRPr="0074218E">
        <w:rPr>
          <w:rFonts w:ascii="Times New Roman" w:hAnsi="Times New Roman" w:cs="Times New Roman"/>
          <w:sz w:val="24"/>
          <w:lang w:eastAsia="zh-CN"/>
        </w:rPr>
        <w:t xml:space="preserve">following </w:t>
      </w:r>
      <w:proofErr w:type="spellStart"/>
      <w:r w:rsidRPr="0074218E">
        <w:rPr>
          <w:rFonts w:ascii="Times New Roman" w:hAnsi="Times New Roman" w:cs="Times New Roman"/>
          <w:sz w:val="24"/>
          <w:lang w:eastAsia="zh-CN"/>
        </w:rPr>
        <w:t>Cavoli</w:t>
      </w:r>
      <w:proofErr w:type="spellEnd"/>
      <w:r w:rsidRPr="0074218E">
        <w:rPr>
          <w:rFonts w:ascii="Times New Roman" w:hAnsi="Times New Roman" w:cs="Times New Roman"/>
          <w:sz w:val="24"/>
          <w:lang w:eastAsia="zh-CN"/>
        </w:rPr>
        <w:t xml:space="preserve"> and </w:t>
      </w:r>
      <w:proofErr w:type="spellStart"/>
      <w:r w:rsidRPr="0074218E">
        <w:rPr>
          <w:rFonts w:ascii="Times New Roman" w:hAnsi="Times New Roman" w:cs="Times New Roman"/>
          <w:sz w:val="24"/>
          <w:lang w:eastAsia="zh-CN"/>
        </w:rPr>
        <w:t>Rajan</w:t>
      </w:r>
      <w:proofErr w:type="spellEnd"/>
      <w:r w:rsidRPr="0074218E">
        <w:rPr>
          <w:rFonts w:ascii="Times New Roman" w:hAnsi="Times New Roman" w:cs="Times New Roman"/>
          <w:sz w:val="24"/>
          <w:lang w:eastAsia="zh-CN"/>
        </w:rPr>
        <w:t xml:space="preserve"> (2007)</w:t>
      </w:r>
      <w:r>
        <w:rPr>
          <w:rFonts w:ascii="Times New Roman" w:hAnsi="Times New Roman" w:cs="Times New Roman"/>
          <w:sz w:val="24"/>
          <w:lang w:eastAsia="zh-CN"/>
        </w:rPr>
        <w:t xml:space="preserve"> and </w:t>
      </w:r>
      <w:r w:rsidRPr="0074218E">
        <w:rPr>
          <w:rFonts w:ascii="Times New Roman" w:hAnsi="Times New Roman" w:cs="Times New Roman"/>
          <w:sz w:val="24"/>
        </w:rPr>
        <w:t>Ogawa and Yang (200</w:t>
      </w:r>
      <w:r>
        <w:rPr>
          <w:rFonts w:ascii="Times New Roman" w:hAnsi="Times New Roman" w:cs="Times New Roman"/>
          <w:sz w:val="24"/>
        </w:rPr>
        <w:t>8</w:t>
      </w:r>
      <w:r w:rsidRPr="0074218E">
        <w:rPr>
          <w:rFonts w:ascii="Times New Roman" w:hAnsi="Times New Roman" w:cs="Times New Roman"/>
          <w:sz w:val="24"/>
        </w:rPr>
        <w:t xml:space="preserve">), this paper shows how the degree of influence has changed, by using OLS coefficient estimates that are time-varying and recursive. </w:t>
      </w:r>
    </w:p>
    <w:p w:rsidR="00744513" w:rsidRDefault="00744513" w:rsidP="00744513">
      <w:pPr>
        <w:ind w:firstLine="840"/>
        <w:rPr>
          <w:rFonts w:ascii="Times New Roman" w:hAnsi="Times New Roman" w:cs="Times New Roman"/>
          <w:sz w:val="24"/>
        </w:rPr>
      </w:pPr>
      <w:r w:rsidRPr="0074218E">
        <w:rPr>
          <w:rFonts w:ascii="Times New Roman" w:hAnsi="Times New Roman" w:cs="Times New Roman"/>
          <w:sz w:val="24"/>
        </w:rPr>
        <w:t>Since</w:t>
      </w:r>
      <w:r w:rsidRPr="0074218E">
        <w:rPr>
          <w:rFonts w:ascii="Times New Roman" w:hAnsi="Times New Roman" w:cs="Times New Roman"/>
          <w:sz w:val="24"/>
          <w:lang w:eastAsia="zh-CN"/>
        </w:rPr>
        <w:t xml:space="preserve"> Central Asian countries </w:t>
      </w:r>
      <w:r w:rsidRPr="0074218E">
        <w:rPr>
          <w:rFonts w:ascii="Times New Roman" w:hAnsi="Times New Roman" w:cs="Times New Roman"/>
          <w:sz w:val="24"/>
        </w:rPr>
        <w:t xml:space="preserve">remained </w:t>
      </w:r>
      <w:r w:rsidRPr="0074218E">
        <w:rPr>
          <w:rFonts w:ascii="Times New Roman" w:hAnsi="Times New Roman" w:cs="Times New Roman"/>
          <w:sz w:val="24"/>
          <w:lang w:eastAsia="zh-CN"/>
        </w:rPr>
        <w:t xml:space="preserve">in </w:t>
      </w:r>
      <w:r w:rsidRPr="0074218E">
        <w:rPr>
          <w:rFonts w:ascii="Times New Roman" w:hAnsi="Times New Roman" w:cs="Times New Roman"/>
          <w:sz w:val="24"/>
        </w:rPr>
        <w:t xml:space="preserve">the </w:t>
      </w:r>
      <w:r w:rsidRPr="0074218E">
        <w:rPr>
          <w:rFonts w:ascii="Times New Roman" w:hAnsi="Times New Roman" w:cs="Times New Roman"/>
          <w:sz w:val="24"/>
          <w:lang w:eastAsia="zh-CN"/>
        </w:rPr>
        <w:t xml:space="preserve">ruble zone until </w:t>
      </w:r>
      <w:r>
        <w:rPr>
          <w:rFonts w:ascii="Times New Roman" w:hAnsi="Times New Roman" w:cs="Times New Roman"/>
          <w:sz w:val="24"/>
          <w:lang w:eastAsia="zh-CN"/>
        </w:rPr>
        <w:t>mid-</w:t>
      </w:r>
      <w:r w:rsidRPr="0074218E">
        <w:rPr>
          <w:rFonts w:ascii="Times New Roman" w:hAnsi="Times New Roman" w:cs="Times New Roman"/>
          <w:sz w:val="24"/>
          <w:lang w:eastAsia="zh-CN"/>
        </w:rPr>
        <w:t xml:space="preserve">1995, </w:t>
      </w:r>
      <w:r w:rsidRPr="0074218E">
        <w:rPr>
          <w:rFonts w:ascii="Times New Roman" w:hAnsi="Times New Roman" w:cs="Times New Roman"/>
          <w:sz w:val="24"/>
        </w:rPr>
        <w:t>this paper uses</w:t>
      </w:r>
      <w:r w:rsidRPr="0074218E">
        <w:rPr>
          <w:rFonts w:ascii="Times New Roman" w:hAnsi="Times New Roman" w:cs="Times New Roman"/>
          <w:sz w:val="24"/>
          <w:lang w:eastAsia="zh-CN"/>
        </w:rPr>
        <w:t xml:space="preserve"> monthly </w:t>
      </w:r>
      <w:r w:rsidRPr="0074218E">
        <w:rPr>
          <w:rFonts w:ascii="Times New Roman" w:hAnsi="Times New Roman" w:cs="Times New Roman"/>
          <w:sz w:val="24"/>
        </w:rPr>
        <w:t xml:space="preserve">exchange rates for the period </w:t>
      </w:r>
      <w:r w:rsidRPr="0074218E">
        <w:rPr>
          <w:rFonts w:ascii="Times New Roman" w:hAnsi="Times New Roman" w:cs="Times New Roman"/>
          <w:sz w:val="24"/>
          <w:lang w:eastAsia="zh-CN"/>
        </w:rPr>
        <w:t>from June 1995 through December 2014.</w:t>
      </w:r>
      <w:r w:rsidRPr="0074218E">
        <w:rPr>
          <w:rFonts w:ascii="Times New Roman" w:hAnsi="Times New Roman" w:cs="Times New Roman"/>
          <w:sz w:val="24"/>
        </w:rPr>
        <w:t xml:space="preserve"> </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The paper shows that the dollar is much more influential than the ruble over all local currencies in Central Asia. But recently the ruble became slightly more influential than before in Kazakhstan, Kyrgyzstan and Uzbekistan, just before Western sanctions against Russia for its Ukrainian policy took their full effect. This trend could relate to </w:t>
      </w:r>
      <w:r w:rsidRPr="0074218E">
        <w:rPr>
          <w:rFonts w:ascii="Times New Roman" w:hAnsi="Times New Roman" w:cs="Times New Roman"/>
          <w:sz w:val="24"/>
          <w:lang w:eastAsia="zh-CN"/>
        </w:rPr>
        <w:t>concurrent economic growth in Russia</w:t>
      </w:r>
      <w:r w:rsidRPr="0074218E">
        <w:rPr>
          <w:rFonts w:ascii="Times New Roman" w:hAnsi="Times New Roman" w:cs="Times New Roman"/>
          <w:sz w:val="24"/>
        </w:rPr>
        <w:t xml:space="preserve"> and to the growing role of that economy in the </w:t>
      </w:r>
      <w:r w:rsidRPr="0074218E">
        <w:rPr>
          <w:rFonts w:ascii="Times New Roman" w:hAnsi="Times New Roman" w:cs="Times New Roman"/>
          <w:sz w:val="24"/>
          <w:lang w:eastAsia="zh-CN"/>
        </w:rPr>
        <w:t>CIS.</w:t>
      </w:r>
      <w:r w:rsidRPr="0074218E">
        <w:rPr>
          <w:rFonts w:ascii="Times New Roman" w:hAnsi="Times New Roman" w:cs="Times New Roman"/>
          <w:sz w:val="24"/>
        </w:rPr>
        <w:t xml:space="preserve"> </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The rest of this paper is organized as follows. The next section briefly reviews exchange rate arrangements in Central Asia. Section 3 measures and discusses the influence of the dollar and ruble. Section 4 concludes.</w:t>
      </w:r>
    </w:p>
    <w:p w:rsidR="00744513" w:rsidRPr="0074218E" w:rsidRDefault="00744513" w:rsidP="00744513">
      <w:pPr>
        <w:rPr>
          <w:rFonts w:ascii="Times New Roman" w:hAnsi="Times New Roman" w:cs="Times New Roman"/>
          <w:b/>
          <w:sz w:val="28"/>
          <w:szCs w:val="28"/>
        </w:rPr>
      </w:pPr>
    </w:p>
    <w:p w:rsidR="00744513" w:rsidRPr="0074218E" w:rsidRDefault="00744513" w:rsidP="00744513">
      <w:pPr>
        <w:rPr>
          <w:rFonts w:ascii="Times New Roman" w:hAnsi="Times New Roman" w:cs="Times New Roman"/>
          <w:b/>
          <w:sz w:val="28"/>
          <w:szCs w:val="28"/>
        </w:rPr>
      </w:pPr>
      <w:r w:rsidRPr="0074218E">
        <w:rPr>
          <w:rFonts w:ascii="Times New Roman" w:hAnsi="Times New Roman" w:cs="Times New Roman"/>
          <w:b/>
          <w:sz w:val="28"/>
          <w:szCs w:val="28"/>
        </w:rPr>
        <w:t xml:space="preserve">2.  Exchange </w:t>
      </w:r>
      <w:r>
        <w:rPr>
          <w:rFonts w:ascii="Times New Roman" w:hAnsi="Times New Roman" w:cs="Times New Roman"/>
          <w:b/>
          <w:sz w:val="28"/>
          <w:szCs w:val="28"/>
        </w:rPr>
        <w:t>r</w:t>
      </w:r>
      <w:r w:rsidRPr="0074218E">
        <w:rPr>
          <w:rFonts w:ascii="Times New Roman" w:hAnsi="Times New Roman" w:cs="Times New Roman"/>
          <w:b/>
          <w:sz w:val="28"/>
          <w:szCs w:val="28"/>
        </w:rPr>
        <w:t xml:space="preserve">ate </w:t>
      </w:r>
      <w:r>
        <w:rPr>
          <w:rFonts w:ascii="Times New Roman" w:hAnsi="Times New Roman" w:cs="Times New Roman"/>
          <w:b/>
          <w:sz w:val="28"/>
          <w:szCs w:val="28"/>
        </w:rPr>
        <w:t>a</w:t>
      </w:r>
      <w:r w:rsidRPr="0074218E">
        <w:rPr>
          <w:rFonts w:ascii="Times New Roman" w:hAnsi="Times New Roman" w:cs="Times New Roman"/>
          <w:b/>
          <w:sz w:val="28"/>
          <w:szCs w:val="28"/>
        </w:rPr>
        <w:t xml:space="preserve">rrangements in Central Asian </w:t>
      </w:r>
      <w:r>
        <w:rPr>
          <w:rFonts w:ascii="Times New Roman" w:hAnsi="Times New Roman" w:cs="Times New Roman"/>
          <w:b/>
          <w:sz w:val="28"/>
          <w:szCs w:val="28"/>
        </w:rPr>
        <w:t>c</w:t>
      </w:r>
      <w:r w:rsidRPr="0074218E">
        <w:rPr>
          <w:rFonts w:ascii="Times New Roman" w:hAnsi="Times New Roman" w:cs="Times New Roman"/>
          <w:b/>
          <w:sz w:val="28"/>
          <w:szCs w:val="28"/>
        </w:rPr>
        <w:t xml:space="preserve">ountries </w:t>
      </w:r>
    </w:p>
    <w:p w:rsidR="00744513" w:rsidRPr="0074218E" w:rsidRDefault="00744513" w:rsidP="00744513">
      <w:pPr>
        <w:rPr>
          <w:rFonts w:ascii="Times New Roman" w:hAnsi="Times New Roman" w:cs="Times New Roman"/>
          <w:sz w:val="24"/>
        </w:rPr>
      </w:pPr>
    </w:p>
    <w:p w:rsidR="00744513" w:rsidRPr="0074218E" w:rsidRDefault="00744513" w:rsidP="00744513">
      <w:pPr>
        <w:ind w:firstLine="840"/>
        <w:rPr>
          <w:rFonts w:ascii="Times New Roman" w:hAnsi="Times New Roman" w:cs="Times New Roman"/>
          <w:iCs/>
          <w:sz w:val="24"/>
        </w:rPr>
      </w:pPr>
      <w:r w:rsidRPr="0074218E">
        <w:rPr>
          <w:rFonts w:ascii="Times New Roman" w:hAnsi="Times New Roman" w:cs="Times New Roman"/>
          <w:sz w:val="24"/>
        </w:rPr>
        <w:t>After introducing their currencies, Central Asian countries (except Kyrgyzstan) maintained fixed exchange rates against the dollar.</w:t>
      </w:r>
      <w:r w:rsidRPr="0074218E">
        <w:rPr>
          <w:rStyle w:val="ab"/>
          <w:rFonts w:ascii="Times New Roman" w:hAnsi="Times New Roman" w:cs="Times New Roman"/>
          <w:sz w:val="24"/>
        </w:rPr>
        <w:footnoteReference w:id="3"/>
      </w:r>
      <w:r w:rsidRPr="0074218E">
        <w:rPr>
          <w:rFonts w:ascii="Times New Roman" w:hAnsi="Times New Roman" w:cs="Times New Roman"/>
          <w:sz w:val="24"/>
        </w:rPr>
        <w:t xml:space="preserve"> But subsequent </w:t>
      </w:r>
      <w:r w:rsidRPr="0074218E">
        <w:rPr>
          <w:rFonts w:ascii="Times New Roman" w:hAnsi="Times New Roman" w:cs="Times New Roman"/>
          <w:iCs/>
          <w:sz w:val="24"/>
        </w:rPr>
        <w:t>favorable economic conditions</w:t>
      </w:r>
      <w:r>
        <w:rPr>
          <w:rFonts w:ascii="Times New Roman" w:hAnsi="Times New Roman" w:cs="Times New Roman"/>
          <w:iCs/>
          <w:sz w:val="24"/>
        </w:rPr>
        <w:t>, such as the end of the ruble crisis and the rise in resource prices,</w:t>
      </w:r>
      <w:r w:rsidRPr="0074218E">
        <w:rPr>
          <w:rFonts w:ascii="Times New Roman" w:hAnsi="Times New Roman" w:cs="Times New Roman"/>
          <w:iCs/>
          <w:sz w:val="24"/>
        </w:rPr>
        <w:t xml:space="preserve"> enabled them to adopt flexible exchange rates around 2000. Figures 1-3 illustrate the exchange rate movements of four national currencies in Central Asia in terms of the dollar, the ruble and the Swiss franc.</w:t>
      </w:r>
    </w:p>
    <w:p w:rsidR="00744513" w:rsidRPr="0074218E" w:rsidRDefault="00744513" w:rsidP="00744513">
      <w:pPr>
        <w:ind w:firstLine="840"/>
        <w:rPr>
          <w:rFonts w:ascii="Times New Roman" w:hAnsi="Times New Roman" w:cs="Times New Roman"/>
          <w:iCs/>
          <w:sz w:val="24"/>
        </w:rPr>
      </w:pPr>
      <w:r w:rsidRPr="0074218E">
        <w:rPr>
          <w:rFonts w:ascii="Times New Roman" w:hAnsi="Times New Roman" w:cs="Times New Roman"/>
          <w:iCs/>
          <w:sz w:val="24"/>
        </w:rPr>
        <w:t xml:space="preserve">The Kazakhstan </w:t>
      </w:r>
      <w:proofErr w:type="spellStart"/>
      <w:r w:rsidRPr="0074218E">
        <w:rPr>
          <w:rFonts w:ascii="Times New Roman" w:hAnsi="Times New Roman" w:cs="Times New Roman"/>
          <w:iCs/>
          <w:sz w:val="24"/>
        </w:rPr>
        <w:t>tenge</w:t>
      </w:r>
      <w:proofErr w:type="spellEnd"/>
      <w:r w:rsidRPr="0074218E">
        <w:rPr>
          <w:rFonts w:ascii="Times New Roman" w:hAnsi="Times New Roman" w:cs="Times New Roman"/>
          <w:iCs/>
          <w:sz w:val="24"/>
        </w:rPr>
        <w:t xml:space="preserve"> and the Kyrgyzstan </w:t>
      </w:r>
      <w:proofErr w:type="spellStart"/>
      <w:r w:rsidRPr="0074218E">
        <w:rPr>
          <w:rFonts w:ascii="Times New Roman" w:hAnsi="Times New Roman" w:cs="Times New Roman"/>
          <w:iCs/>
          <w:sz w:val="24"/>
        </w:rPr>
        <w:t>som</w:t>
      </w:r>
      <w:proofErr w:type="spellEnd"/>
      <w:r w:rsidRPr="0074218E">
        <w:rPr>
          <w:rFonts w:ascii="Times New Roman" w:hAnsi="Times New Roman" w:cs="Times New Roman"/>
          <w:iCs/>
          <w:sz w:val="24"/>
        </w:rPr>
        <w:t xml:space="preserve"> have been relatively stable against the dollar and the ruble over the sample period from 1995 through 2014, although the Russian crisis in 1998 caused these two </w:t>
      </w:r>
      <w:r>
        <w:rPr>
          <w:rFonts w:ascii="Times New Roman" w:hAnsi="Times New Roman" w:cs="Times New Roman"/>
          <w:iCs/>
          <w:sz w:val="24"/>
        </w:rPr>
        <w:t>Central Asian</w:t>
      </w:r>
      <w:r w:rsidRPr="0074218E">
        <w:rPr>
          <w:rFonts w:ascii="Times New Roman" w:hAnsi="Times New Roman" w:cs="Times New Roman"/>
          <w:iCs/>
          <w:sz w:val="24"/>
        </w:rPr>
        <w:t xml:space="preserve"> currencies to depreciate against the dollar and appreciate against the ruble.</w:t>
      </w:r>
      <w:r w:rsidRPr="0074218E">
        <w:rPr>
          <w:rStyle w:val="ab"/>
          <w:rFonts w:ascii="Times New Roman" w:hAnsi="Times New Roman" w:cs="Times New Roman"/>
          <w:iCs/>
          <w:sz w:val="24"/>
        </w:rPr>
        <w:footnoteReference w:id="4"/>
      </w:r>
      <w:r w:rsidRPr="0074218E">
        <w:rPr>
          <w:rFonts w:ascii="Times New Roman" w:hAnsi="Times New Roman" w:cs="Times New Roman"/>
          <w:iCs/>
          <w:sz w:val="24"/>
        </w:rPr>
        <w:t xml:space="preserve"> On the other hand, the Tajikistan somoni and the Uzbekistan </w:t>
      </w:r>
      <w:proofErr w:type="spellStart"/>
      <w:r w:rsidRPr="0074218E">
        <w:rPr>
          <w:rFonts w:ascii="Times New Roman" w:hAnsi="Times New Roman" w:cs="Times New Roman"/>
          <w:iCs/>
          <w:sz w:val="24"/>
        </w:rPr>
        <w:t>som</w:t>
      </w:r>
      <w:proofErr w:type="spellEnd"/>
      <w:r w:rsidRPr="0074218E">
        <w:rPr>
          <w:rFonts w:ascii="Times New Roman" w:hAnsi="Times New Roman" w:cs="Times New Roman"/>
          <w:iCs/>
          <w:sz w:val="24"/>
        </w:rPr>
        <w:t xml:space="preserve"> have been depreciating ag</w:t>
      </w:r>
      <w:r>
        <w:rPr>
          <w:rFonts w:ascii="Times New Roman" w:hAnsi="Times New Roman" w:cs="Times New Roman"/>
          <w:iCs/>
          <w:sz w:val="24"/>
        </w:rPr>
        <w:t xml:space="preserve">ainst </w:t>
      </w:r>
      <w:r w:rsidRPr="0074218E">
        <w:rPr>
          <w:rFonts w:ascii="Times New Roman" w:hAnsi="Times New Roman" w:cs="Times New Roman"/>
          <w:iCs/>
          <w:sz w:val="24"/>
        </w:rPr>
        <w:t>the dollar a</w:t>
      </w:r>
      <w:r>
        <w:rPr>
          <w:rFonts w:ascii="Times New Roman" w:hAnsi="Times New Roman" w:cs="Times New Roman"/>
          <w:iCs/>
          <w:sz w:val="24"/>
        </w:rPr>
        <w:t xml:space="preserve">nd </w:t>
      </w:r>
      <w:r w:rsidRPr="0074218E">
        <w:rPr>
          <w:rFonts w:ascii="Times New Roman" w:hAnsi="Times New Roman" w:cs="Times New Roman"/>
          <w:iCs/>
          <w:sz w:val="24"/>
        </w:rPr>
        <w:t>the ruble</w:t>
      </w:r>
      <w:r>
        <w:rPr>
          <w:rFonts w:ascii="Times New Roman" w:hAnsi="Times New Roman" w:cs="Times New Roman"/>
          <w:iCs/>
          <w:sz w:val="24"/>
        </w:rPr>
        <w:t xml:space="preserve">, although the 1998 </w:t>
      </w:r>
      <w:r w:rsidRPr="0074218E">
        <w:rPr>
          <w:rFonts w:ascii="Times New Roman" w:hAnsi="Times New Roman" w:cs="Times New Roman"/>
          <w:iCs/>
          <w:sz w:val="24"/>
        </w:rPr>
        <w:t>crisis caused the</w:t>
      </w:r>
      <w:r>
        <w:rPr>
          <w:rFonts w:ascii="Times New Roman" w:hAnsi="Times New Roman" w:cs="Times New Roman"/>
          <w:iCs/>
          <w:sz w:val="24"/>
        </w:rPr>
        <w:t xml:space="preserve"> two local </w:t>
      </w:r>
      <w:r w:rsidRPr="0074218E">
        <w:rPr>
          <w:rFonts w:ascii="Times New Roman" w:hAnsi="Times New Roman" w:cs="Times New Roman"/>
          <w:iCs/>
          <w:sz w:val="24"/>
        </w:rPr>
        <w:t xml:space="preserve">currencies to appreciate against the ruble. Moreover, trends show structural breaks in the movements of all national currencies, except those of the Uzbekistan </w:t>
      </w:r>
      <w:proofErr w:type="spellStart"/>
      <w:r w:rsidRPr="0074218E">
        <w:rPr>
          <w:rFonts w:ascii="Times New Roman" w:hAnsi="Times New Roman" w:cs="Times New Roman"/>
          <w:iCs/>
          <w:sz w:val="24"/>
        </w:rPr>
        <w:t>som</w:t>
      </w:r>
      <w:proofErr w:type="spellEnd"/>
      <w:r w:rsidRPr="0074218E">
        <w:rPr>
          <w:rFonts w:ascii="Times New Roman" w:hAnsi="Times New Roman" w:cs="Times New Roman"/>
          <w:iCs/>
          <w:sz w:val="24"/>
        </w:rPr>
        <w:t>, against all major currencies during the 2008-9 world financial crisis.</w:t>
      </w:r>
      <w:r w:rsidRPr="0074218E">
        <w:rPr>
          <w:rStyle w:val="ab"/>
          <w:rFonts w:ascii="Times New Roman" w:hAnsi="Times New Roman" w:cs="Times New Roman"/>
          <w:iCs/>
          <w:sz w:val="24"/>
        </w:rPr>
        <w:footnoteReference w:id="5"/>
      </w:r>
      <w:r w:rsidRPr="0074218E">
        <w:rPr>
          <w:rFonts w:ascii="Times New Roman" w:hAnsi="Times New Roman" w:cs="Times New Roman"/>
          <w:iCs/>
          <w:sz w:val="24"/>
        </w:rPr>
        <w:t xml:space="preserve"> The </w:t>
      </w:r>
      <w:proofErr w:type="spellStart"/>
      <w:r w:rsidRPr="0074218E">
        <w:rPr>
          <w:rFonts w:ascii="Times New Roman" w:hAnsi="Times New Roman" w:cs="Times New Roman"/>
          <w:iCs/>
          <w:sz w:val="24"/>
        </w:rPr>
        <w:t>som</w:t>
      </w:r>
      <w:proofErr w:type="spellEnd"/>
      <w:r w:rsidRPr="0074218E">
        <w:rPr>
          <w:rFonts w:ascii="Times New Roman" w:hAnsi="Times New Roman" w:cs="Times New Roman"/>
          <w:iCs/>
          <w:sz w:val="24"/>
        </w:rPr>
        <w:t xml:space="preserve"> had a structural break against </w:t>
      </w:r>
      <w:r>
        <w:rPr>
          <w:rFonts w:ascii="Times New Roman" w:hAnsi="Times New Roman" w:cs="Times New Roman"/>
          <w:iCs/>
          <w:sz w:val="24"/>
        </w:rPr>
        <w:t xml:space="preserve">only </w:t>
      </w:r>
      <w:r w:rsidRPr="0074218E">
        <w:rPr>
          <w:rFonts w:ascii="Times New Roman" w:hAnsi="Times New Roman" w:cs="Times New Roman"/>
          <w:iCs/>
          <w:sz w:val="24"/>
        </w:rPr>
        <w:t xml:space="preserve">the ruble during that period.   </w:t>
      </w:r>
    </w:p>
    <w:p w:rsidR="00744513" w:rsidRPr="0074218E" w:rsidRDefault="00744513" w:rsidP="00744513">
      <w:pPr>
        <w:jc w:val="center"/>
        <w:rPr>
          <w:rFonts w:ascii="Times New Roman" w:hAnsi="Times New Roman" w:cs="Times New Roman"/>
          <w:iCs/>
          <w:sz w:val="24"/>
        </w:rPr>
      </w:pPr>
      <w:r>
        <w:rPr>
          <w:rFonts w:ascii="Times New Roman" w:hAnsi="Times New Roman" w:cs="Times New Roman"/>
          <w:iCs/>
          <w:noProof/>
          <w:sz w:val="24"/>
        </w:rPr>
        <w:lastRenderedPageBreak/>
        <w:drawing>
          <wp:inline distT="0" distB="0" distL="0" distR="0" wp14:anchorId="0B0B7352" wp14:editId="5153CBC2">
            <wp:extent cx="2619375" cy="2657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19375" cy="2657475"/>
                    </a:xfrm>
                    <a:prstGeom prst="rect">
                      <a:avLst/>
                    </a:prstGeom>
                    <a:noFill/>
                    <a:ln w="9525">
                      <a:noFill/>
                      <a:miter lim="800000"/>
                      <a:headEnd/>
                      <a:tailEnd/>
                    </a:ln>
                  </pic:spPr>
                </pic:pic>
              </a:graphicData>
            </a:graphic>
          </wp:inline>
        </w:drawing>
      </w:r>
    </w:p>
    <w:p w:rsidR="00744513" w:rsidRPr="0074218E" w:rsidRDefault="00744513" w:rsidP="00744513">
      <w:pPr>
        <w:tabs>
          <w:tab w:val="num" w:pos="525"/>
        </w:tabs>
        <w:ind w:left="525" w:hanging="525"/>
        <w:jc w:val="center"/>
        <w:rPr>
          <w:rFonts w:ascii="Times New Roman" w:hAnsi="Times New Roman" w:cs="Times New Roman"/>
          <w:sz w:val="24"/>
        </w:rPr>
      </w:pPr>
      <w:r>
        <w:rPr>
          <w:rFonts w:ascii="Times New Roman" w:hAnsi="Times New Roman" w:cs="Times New Roman"/>
          <w:sz w:val="24"/>
        </w:rPr>
        <w:t>Figure 1:</w:t>
      </w:r>
      <w:r w:rsidRPr="0074218E">
        <w:rPr>
          <w:rFonts w:ascii="Times New Roman" w:hAnsi="Times New Roman" w:cs="Times New Roman"/>
          <w:sz w:val="24"/>
        </w:rPr>
        <w:t xml:space="preserve"> Logs of exchange rates against the US dollar.</w:t>
      </w:r>
    </w:p>
    <w:p w:rsidR="00744513" w:rsidRPr="0074218E" w:rsidRDefault="00744513" w:rsidP="00744513">
      <w:pPr>
        <w:tabs>
          <w:tab w:val="num" w:pos="525"/>
        </w:tabs>
        <w:ind w:left="525" w:hanging="525"/>
        <w:jc w:val="center"/>
        <w:rPr>
          <w:rFonts w:ascii="Times New Roman" w:hAnsi="Times New Roman" w:cs="Times New Roman"/>
          <w:sz w:val="24"/>
        </w:rPr>
      </w:pPr>
    </w:p>
    <w:p w:rsidR="00744513" w:rsidRPr="0074218E" w:rsidRDefault="00744513" w:rsidP="00744513">
      <w:pPr>
        <w:tabs>
          <w:tab w:val="num" w:pos="525"/>
        </w:tabs>
        <w:ind w:left="525" w:hanging="525"/>
        <w:jc w:val="center"/>
        <w:rPr>
          <w:rFonts w:ascii="Times New Roman" w:hAnsi="Times New Roman" w:cs="Times New Roman"/>
          <w:sz w:val="24"/>
        </w:rPr>
      </w:pPr>
      <w:r>
        <w:rPr>
          <w:rFonts w:ascii="Times New Roman" w:hAnsi="Times New Roman" w:cs="Times New Roman"/>
          <w:noProof/>
          <w:sz w:val="24"/>
        </w:rPr>
        <w:drawing>
          <wp:inline distT="0" distB="0" distL="0" distR="0" wp14:anchorId="16BCA972" wp14:editId="5EBD3754">
            <wp:extent cx="2514600" cy="2257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14600" cy="2257425"/>
                    </a:xfrm>
                    <a:prstGeom prst="rect">
                      <a:avLst/>
                    </a:prstGeom>
                    <a:noFill/>
                    <a:ln w="9525">
                      <a:noFill/>
                      <a:miter lim="800000"/>
                      <a:headEnd/>
                      <a:tailEnd/>
                    </a:ln>
                  </pic:spPr>
                </pic:pic>
              </a:graphicData>
            </a:graphic>
          </wp:inline>
        </w:drawing>
      </w: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t>Figure 2:</w:t>
      </w:r>
      <w:r w:rsidRPr="0074218E">
        <w:rPr>
          <w:rFonts w:ascii="Times New Roman" w:hAnsi="Times New Roman" w:cs="Times New Roman"/>
          <w:sz w:val="24"/>
        </w:rPr>
        <w:t xml:space="preserve"> Logs of exchange rates against the Russian ruble.</w:t>
      </w:r>
    </w:p>
    <w:p w:rsidR="00744513" w:rsidRPr="0074218E" w:rsidRDefault="00744513" w:rsidP="00744513">
      <w:pPr>
        <w:jc w:val="center"/>
        <w:rPr>
          <w:rFonts w:ascii="Times New Roman" w:hAnsi="Times New Roman" w:cs="Times New Roman"/>
          <w:sz w:val="24"/>
        </w:rPr>
      </w:pPr>
    </w:p>
    <w:p w:rsidR="00744513" w:rsidRPr="0074218E" w:rsidRDefault="00744513" w:rsidP="00744513">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C008535" wp14:editId="5B03071D">
            <wp:extent cx="2571750" cy="2305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71750" cy="2305050"/>
                    </a:xfrm>
                    <a:prstGeom prst="rect">
                      <a:avLst/>
                    </a:prstGeom>
                    <a:noFill/>
                    <a:ln w="9525">
                      <a:noFill/>
                      <a:miter lim="800000"/>
                      <a:headEnd/>
                      <a:tailEnd/>
                    </a:ln>
                  </pic:spPr>
                </pic:pic>
              </a:graphicData>
            </a:graphic>
          </wp:inline>
        </w:drawing>
      </w: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t>Figure 3:</w:t>
      </w:r>
      <w:r w:rsidRPr="0074218E">
        <w:rPr>
          <w:rFonts w:ascii="Times New Roman" w:hAnsi="Times New Roman" w:cs="Times New Roman"/>
          <w:sz w:val="24"/>
        </w:rPr>
        <w:t xml:space="preserve"> Logs of exchange rates against the Swiss franc.</w:t>
      </w:r>
    </w:p>
    <w:p w:rsidR="00744513" w:rsidRPr="0074218E" w:rsidRDefault="00744513" w:rsidP="00744513">
      <w:pPr>
        <w:ind w:firstLine="840"/>
        <w:rPr>
          <w:rFonts w:ascii="Times New Roman" w:hAnsi="Times New Roman" w:cs="Times New Roman"/>
          <w:iCs/>
          <w:sz w:val="24"/>
        </w:rPr>
      </w:pPr>
    </w:p>
    <w:p w:rsidR="00744513" w:rsidRPr="0074218E" w:rsidRDefault="00744513" w:rsidP="00744513">
      <w:pPr>
        <w:ind w:firstLine="840"/>
        <w:rPr>
          <w:rFonts w:ascii="Times New Roman" w:hAnsi="Times New Roman" w:cs="Times New Roman"/>
          <w:iCs/>
          <w:sz w:val="24"/>
        </w:rPr>
      </w:pPr>
      <w:r w:rsidRPr="0074218E">
        <w:rPr>
          <w:rFonts w:ascii="Times New Roman" w:hAnsi="Times New Roman" w:cs="Times New Roman"/>
          <w:iCs/>
          <w:sz w:val="24"/>
        </w:rPr>
        <w:t xml:space="preserve">The depreciation of the somoni against the dollar and the ruble might </w:t>
      </w:r>
      <w:r>
        <w:rPr>
          <w:rFonts w:ascii="Times New Roman" w:hAnsi="Times New Roman" w:cs="Times New Roman"/>
          <w:iCs/>
          <w:sz w:val="24"/>
        </w:rPr>
        <w:t xml:space="preserve">have </w:t>
      </w:r>
      <w:r w:rsidRPr="0074218E">
        <w:rPr>
          <w:rFonts w:ascii="Times New Roman" w:hAnsi="Times New Roman" w:cs="Times New Roman"/>
          <w:iCs/>
          <w:sz w:val="24"/>
        </w:rPr>
        <w:t>be</w:t>
      </w:r>
      <w:r>
        <w:rPr>
          <w:rFonts w:ascii="Times New Roman" w:hAnsi="Times New Roman" w:cs="Times New Roman"/>
          <w:iCs/>
          <w:sz w:val="24"/>
        </w:rPr>
        <w:t>en</w:t>
      </w:r>
      <w:r w:rsidRPr="0074218E">
        <w:rPr>
          <w:rFonts w:ascii="Times New Roman" w:hAnsi="Times New Roman" w:cs="Times New Roman"/>
          <w:iCs/>
          <w:sz w:val="24"/>
        </w:rPr>
        <w:t xml:space="preserve"> caused by political instability, enormous budget deficits, weak monetary policy, and a fall in real GDP of about 20% to 30% during the mid-1990s (</w:t>
      </w:r>
      <w:proofErr w:type="spellStart"/>
      <w:r w:rsidRPr="0074218E">
        <w:rPr>
          <w:rFonts w:ascii="Times New Roman" w:hAnsi="Times New Roman" w:cs="Times New Roman"/>
          <w:iCs/>
          <w:sz w:val="24"/>
        </w:rPr>
        <w:t>Tashrifov</w:t>
      </w:r>
      <w:proofErr w:type="spellEnd"/>
      <w:r w:rsidRPr="0074218E">
        <w:rPr>
          <w:rFonts w:ascii="Times New Roman" w:hAnsi="Times New Roman" w:cs="Times New Roman"/>
          <w:iCs/>
          <w:sz w:val="24"/>
        </w:rPr>
        <w:t xml:space="preserve">, 2005). The considerable depreciation of the Uzbekistan </w:t>
      </w:r>
      <w:proofErr w:type="spellStart"/>
      <w:r w:rsidRPr="0074218E">
        <w:rPr>
          <w:rFonts w:ascii="Times New Roman" w:hAnsi="Times New Roman" w:cs="Times New Roman"/>
          <w:iCs/>
          <w:sz w:val="24"/>
        </w:rPr>
        <w:t>som</w:t>
      </w:r>
      <w:proofErr w:type="spellEnd"/>
      <w:r w:rsidRPr="0074218E">
        <w:rPr>
          <w:rFonts w:ascii="Times New Roman" w:hAnsi="Times New Roman" w:cs="Times New Roman"/>
          <w:iCs/>
          <w:sz w:val="24"/>
        </w:rPr>
        <w:t xml:space="preserve"> during the late 1990s might be explained by unification of exchange rates and the </w:t>
      </w:r>
      <w:r>
        <w:rPr>
          <w:rFonts w:ascii="Times New Roman" w:hAnsi="Times New Roman" w:cs="Times New Roman"/>
          <w:iCs/>
          <w:sz w:val="24"/>
        </w:rPr>
        <w:t xml:space="preserve">decline of the </w:t>
      </w:r>
      <w:r w:rsidRPr="0074218E">
        <w:rPr>
          <w:rFonts w:ascii="Times New Roman" w:hAnsi="Times New Roman" w:cs="Times New Roman"/>
          <w:iCs/>
          <w:sz w:val="24"/>
        </w:rPr>
        <w:t>world price</w:t>
      </w:r>
      <w:r>
        <w:rPr>
          <w:rFonts w:ascii="Times New Roman" w:hAnsi="Times New Roman" w:cs="Times New Roman"/>
          <w:iCs/>
          <w:sz w:val="24"/>
        </w:rPr>
        <w:t xml:space="preserve">s </w:t>
      </w:r>
      <w:r w:rsidRPr="0074218E">
        <w:rPr>
          <w:rFonts w:ascii="Times New Roman" w:hAnsi="Times New Roman" w:cs="Times New Roman"/>
          <w:iCs/>
          <w:sz w:val="24"/>
        </w:rPr>
        <w:t>of cotton and gold, two main sources of foreign exchange reserves.</w:t>
      </w:r>
      <w:r w:rsidRPr="0074218E">
        <w:rPr>
          <w:rStyle w:val="ab"/>
          <w:rFonts w:ascii="Times New Roman" w:hAnsi="Times New Roman" w:cs="Times New Roman"/>
          <w:iCs/>
          <w:sz w:val="24"/>
        </w:rPr>
        <w:footnoteReference w:id="6"/>
      </w:r>
    </w:p>
    <w:p w:rsidR="00744513"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The first critical shock during the sample period was the </w:t>
      </w:r>
      <w:proofErr w:type="gramStart"/>
      <w:r w:rsidRPr="0074218E">
        <w:rPr>
          <w:rFonts w:ascii="Times New Roman" w:hAnsi="Times New Roman" w:cs="Times New Roman"/>
          <w:sz w:val="24"/>
        </w:rPr>
        <w:t xml:space="preserve">1998 </w:t>
      </w:r>
      <w:r>
        <w:rPr>
          <w:rFonts w:ascii="Times New Roman" w:hAnsi="Times New Roman" w:cs="Times New Roman"/>
          <w:sz w:val="24"/>
        </w:rPr>
        <w:t>ruble</w:t>
      </w:r>
      <w:proofErr w:type="gramEnd"/>
      <w:r>
        <w:rPr>
          <w:rFonts w:ascii="Times New Roman" w:hAnsi="Times New Roman" w:cs="Times New Roman"/>
          <w:sz w:val="24"/>
        </w:rPr>
        <w:t xml:space="preserve"> </w:t>
      </w:r>
      <w:r w:rsidRPr="0074218E">
        <w:rPr>
          <w:rFonts w:ascii="Times New Roman" w:hAnsi="Times New Roman" w:cs="Times New Roman"/>
          <w:sz w:val="24"/>
        </w:rPr>
        <w:t>crisis, since Russia ha</w:t>
      </w:r>
      <w:r>
        <w:rPr>
          <w:rFonts w:ascii="Times New Roman" w:hAnsi="Times New Roman" w:cs="Times New Roman"/>
          <w:sz w:val="24"/>
        </w:rPr>
        <w:t xml:space="preserve">d </w:t>
      </w:r>
      <w:r w:rsidRPr="0074218E">
        <w:rPr>
          <w:rFonts w:ascii="Times New Roman" w:hAnsi="Times New Roman" w:cs="Times New Roman"/>
          <w:sz w:val="24"/>
        </w:rPr>
        <w:t xml:space="preserve">been one of the most important </w:t>
      </w:r>
      <w:r>
        <w:rPr>
          <w:rFonts w:ascii="Times New Roman" w:hAnsi="Times New Roman" w:cs="Times New Roman"/>
          <w:sz w:val="24"/>
        </w:rPr>
        <w:t xml:space="preserve">trading partners for </w:t>
      </w:r>
      <w:r w:rsidRPr="0074218E">
        <w:rPr>
          <w:rFonts w:ascii="Times New Roman" w:hAnsi="Times New Roman" w:cs="Times New Roman"/>
          <w:sz w:val="24"/>
        </w:rPr>
        <w:t xml:space="preserve">Central Asia. </w:t>
      </w:r>
      <w:r>
        <w:rPr>
          <w:rFonts w:ascii="Times New Roman" w:hAnsi="Times New Roman" w:cs="Times New Roman"/>
          <w:sz w:val="24"/>
        </w:rPr>
        <w:t>In August 1998, Russia declared a 90-day moratorium on foreign debt and defaulted on its domestic bond obligations. Moreover, the Russian central bank could not provide a stable exchange rate, and the ruble depreciated by more than two thirds within a month, falling from 6.2 rubles against the US dollar to 20 rubles.</w:t>
      </w:r>
      <w:r>
        <w:rPr>
          <w:rStyle w:val="ab"/>
          <w:rFonts w:ascii="Times New Roman" w:hAnsi="Times New Roman" w:cs="Times New Roman"/>
          <w:sz w:val="24"/>
        </w:rPr>
        <w:footnoteReference w:id="7"/>
      </w:r>
      <w:r>
        <w:rPr>
          <w:rFonts w:ascii="Times New Roman" w:hAnsi="Times New Roman" w:cs="Times New Roman"/>
          <w:b/>
          <w:sz w:val="24"/>
        </w:rPr>
        <w:t xml:space="preserve"> </w:t>
      </w:r>
      <w:r w:rsidRPr="0074218E">
        <w:rPr>
          <w:rFonts w:ascii="Times New Roman" w:hAnsi="Times New Roman" w:cs="Times New Roman"/>
          <w:sz w:val="24"/>
        </w:rPr>
        <w:t xml:space="preserve">The second shock was the </w:t>
      </w:r>
      <w:r>
        <w:rPr>
          <w:rFonts w:ascii="Times New Roman" w:hAnsi="Times New Roman" w:cs="Times New Roman"/>
          <w:sz w:val="24"/>
        </w:rPr>
        <w:t xml:space="preserve">2008-9 </w:t>
      </w:r>
      <w:r w:rsidRPr="0074218E">
        <w:rPr>
          <w:rFonts w:ascii="Times New Roman" w:hAnsi="Times New Roman" w:cs="Times New Roman"/>
          <w:sz w:val="24"/>
        </w:rPr>
        <w:t>crisis</w:t>
      </w:r>
      <w:r>
        <w:rPr>
          <w:rFonts w:ascii="Times New Roman" w:hAnsi="Times New Roman" w:cs="Times New Roman"/>
          <w:sz w:val="24"/>
        </w:rPr>
        <w:t>. Advanced economies suffered deep recession, while emerging and developing economies slowed due to declines in exports and in external financing.</w:t>
      </w:r>
      <w:r w:rsidRPr="0074218E">
        <w:rPr>
          <w:rFonts w:ascii="Times New Roman" w:hAnsi="Times New Roman" w:cs="Times New Roman"/>
          <w:sz w:val="24"/>
        </w:rPr>
        <w:t xml:space="preserve"> </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Exchange rate movements in Central Asian currencies in terms of volatility and correlation are analyzed by </w:t>
      </w:r>
      <w:r>
        <w:rPr>
          <w:rFonts w:ascii="Times New Roman" w:hAnsi="Times New Roman" w:cs="Times New Roman"/>
          <w:sz w:val="24"/>
        </w:rPr>
        <w:t>dividing the time interval</w:t>
      </w:r>
      <w:r w:rsidRPr="0074218E">
        <w:rPr>
          <w:rFonts w:ascii="Times New Roman" w:hAnsi="Times New Roman" w:cs="Times New Roman"/>
          <w:sz w:val="24"/>
        </w:rPr>
        <w:t xml:space="preserve"> into three </w:t>
      </w:r>
      <w:r>
        <w:rPr>
          <w:rFonts w:ascii="Times New Roman" w:hAnsi="Times New Roman" w:cs="Times New Roman"/>
          <w:sz w:val="24"/>
        </w:rPr>
        <w:t>period</w:t>
      </w:r>
      <w:r w:rsidRPr="0074218E">
        <w:rPr>
          <w:rFonts w:ascii="Times New Roman" w:hAnsi="Times New Roman" w:cs="Times New Roman"/>
          <w:sz w:val="24"/>
        </w:rPr>
        <w:t xml:space="preserve">s, demarcated by the </w:t>
      </w:r>
      <w:r>
        <w:rPr>
          <w:rFonts w:ascii="Times New Roman" w:hAnsi="Times New Roman" w:cs="Times New Roman"/>
          <w:sz w:val="24"/>
        </w:rPr>
        <w:t>two crises</w:t>
      </w:r>
      <w:r w:rsidRPr="0074218E">
        <w:rPr>
          <w:rFonts w:ascii="Times New Roman" w:hAnsi="Times New Roman" w:cs="Times New Roman"/>
          <w:sz w:val="24"/>
        </w:rPr>
        <w:t>. The first period is from June 1995 through December 1997; the second, from January 2000 through June 2008; the third, from June 2009 through December 2014.</w:t>
      </w:r>
    </w:p>
    <w:p w:rsidR="00744513" w:rsidRDefault="00744513" w:rsidP="00744513">
      <w:pPr>
        <w:ind w:firstLine="840"/>
        <w:rPr>
          <w:rFonts w:ascii="Times New Roman" w:hAnsi="Times New Roman" w:cs="Times New Roman"/>
          <w:sz w:val="24"/>
        </w:rPr>
      </w:pPr>
      <w:r w:rsidRPr="0074218E">
        <w:rPr>
          <w:rFonts w:ascii="Times New Roman" w:hAnsi="Times New Roman" w:cs="Times New Roman"/>
          <w:sz w:val="24"/>
        </w:rPr>
        <w:t>Tables 1</w:t>
      </w:r>
      <w:r>
        <w:rPr>
          <w:rFonts w:ascii="Times New Roman" w:hAnsi="Times New Roman" w:cs="Times New Roman"/>
          <w:sz w:val="24"/>
        </w:rPr>
        <w:t>-</w:t>
      </w:r>
      <w:r w:rsidRPr="0074218E">
        <w:rPr>
          <w:rFonts w:ascii="Times New Roman" w:hAnsi="Times New Roman" w:cs="Times New Roman"/>
          <w:sz w:val="24"/>
        </w:rPr>
        <w:t xml:space="preserve">3 present summary statistics of monthly changes in the nominal exchange rates against the Swiss franc during each of the three sample periods. Among the four countries, the somoni had the highest volatility with a standard deviation of 0.1967 during the first period. The 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had the highest volatility</w:t>
      </w:r>
      <w:r>
        <w:rPr>
          <w:rFonts w:ascii="Times New Roman" w:hAnsi="Times New Roman" w:cs="Times New Roman"/>
          <w:sz w:val="24"/>
        </w:rPr>
        <w:t>,</w:t>
      </w:r>
      <w:r w:rsidRPr="0074218E">
        <w:rPr>
          <w:rFonts w:ascii="Times New Roman" w:hAnsi="Times New Roman" w:cs="Times New Roman"/>
          <w:sz w:val="24"/>
        </w:rPr>
        <w:t xml:space="preserve"> with </w:t>
      </w:r>
      <w:r>
        <w:rPr>
          <w:rFonts w:ascii="Times New Roman" w:hAnsi="Times New Roman" w:cs="Times New Roman"/>
          <w:sz w:val="24"/>
        </w:rPr>
        <w:t xml:space="preserve">a </w:t>
      </w:r>
      <w:r w:rsidRPr="0074218E">
        <w:rPr>
          <w:rFonts w:ascii="Times New Roman" w:hAnsi="Times New Roman" w:cs="Times New Roman"/>
          <w:sz w:val="24"/>
        </w:rPr>
        <w:t>standard deviation of 0.0693</w:t>
      </w:r>
      <w:r>
        <w:rPr>
          <w:rFonts w:ascii="Times New Roman" w:hAnsi="Times New Roman" w:cs="Times New Roman"/>
          <w:sz w:val="24"/>
        </w:rPr>
        <w:t xml:space="preserve">, </w:t>
      </w:r>
      <w:r w:rsidRPr="0074218E">
        <w:rPr>
          <w:rFonts w:ascii="Times New Roman" w:hAnsi="Times New Roman" w:cs="Times New Roman"/>
          <w:sz w:val="24"/>
        </w:rPr>
        <w:t xml:space="preserve">between the two </w:t>
      </w:r>
      <w:r>
        <w:rPr>
          <w:rFonts w:ascii="Times New Roman" w:hAnsi="Times New Roman" w:cs="Times New Roman"/>
          <w:sz w:val="24"/>
        </w:rPr>
        <w:t>crises</w:t>
      </w:r>
      <w:r w:rsidRPr="0074218E">
        <w:rPr>
          <w:rFonts w:ascii="Times New Roman" w:hAnsi="Times New Roman" w:cs="Times New Roman"/>
          <w:sz w:val="24"/>
        </w:rPr>
        <w:t xml:space="preserve">, while the somoni was the most volatile currency </w:t>
      </w:r>
      <w:r>
        <w:rPr>
          <w:rFonts w:ascii="Times New Roman" w:hAnsi="Times New Roman" w:cs="Times New Roman"/>
          <w:sz w:val="24"/>
        </w:rPr>
        <w:t xml:space="preserve">in the last period, </w:t>
      </w:r>
      <w:r w:rsidRPr="0074218E">
        <w:rPr>
          <w:rFonts w:ascii="Times New Roman" w:hAnsi="Times New Roman" w:cs="Times New Roman"/>
          <w:sz w:val="24"/>
        </w:rPr>
        <w:t xml:space="preserve">with a standard deviation of 0.0321. </w:t>
      </w:r>
      <w:r>
        <w:rPr>
          <w:rFonts w:ascii="Times New Roman" w:hAnsi="Times New Roman" w:cs="Times New Roman"/>
          <w:sz w:val="24"/>
        </w:rPr>
        <w:t>During all three periods, t</w:t>
      </w:r>
      <w:r w:rsidRPr="0074218E">
        <w:rPr>
          <w:rFonts w:ascii="Times New Roman" w:hAnsi="Times New Roman" w:cs="Times New Roman"/>
          <w:sz w:val="24"/>
        </w:rPr>
        <w:t xml:space="preserve">he Kazakhstan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was </w:t>
      </w:r>
      <w:r>
        <w:rPr>
          <w:rFonts w:ascii="Times New Roman" w:hAnsi="Times New Roman" w:cs="Times New Roman"/>
          <w:sz w:val="24"/>
        </w:rPr>
        <w:t xml:space="preserve">usually </w:t>
      </w:r>
      <w:r w:rsidRPr="0074218E">
        <w:rPr>
          <w:rFonts w:ascii="Times New Roman" w:hAnsi="Times New Roman" w:cs="Times New Roman"/>
          <w:sz w:val="24"/>
        </w:rPr>
        <w:t xml:space="preserve">less volatile </w:t>
      </w:r>
      <w:r>
        <w:rPr>
          <w:rFonts w:ascii="Times New Roman" w:hAnsi="Times New Roman" w:cs="Times New Roman"/>
          <w:sz w:val="24"/>
        </w:rPr>
        <w:t>than other Central Asian currencies</w:t>
      </w:r>
      <w:r w:rsidRPr="0074218E">
        <w:rPr>
          <w:rFonts w:ascii="Times New Roman" w:hAnsi="Times New Roman" w:cs="Times New Roman"/>
          <w:sz w:val="24"/>
        </w:rPr>
        <w:t>, implying that it was</w:t>
      </w:r>
      <w:r>
        <w:rPr>
          <w:rFonts w:ascii="Times New Roman" w:hAnsi="Times New Roman" w:cs="Times New Roman"/>
          <w:sz w:val="24"/>
        </w:rPr>
        <w:t xml:space="preserve"> managed </w:t>
      </w:r>
      <w:r w:rsidRPr="0074218E">
        <w:rPr>
          <w:rFonts w:ascii="Times New Roman" w:hAnsi="Times New Roman" w:cs="Times New Roman"/>
          <w:sz w:val="24"/>
        </w:rPr>
        <w:t xml:space="preserve">to some extent. </w:t>
      </w:r>
      <w:r>
        <w:rPr>
          <w:rFonts w:ascii="Times New Roman" w:hAnsi="Times New Roman" w:cs="Times New Roman"/>
          <w:sz w:val="24"/>
        </w:rPr>
        <w:t>T</w:t>
      </w:r>
      <w:r w:rsidRPr="0074218E">
        <w:rPr>
          <w:rFonts w:ascii="Times New Roman" w:hAnsi="Times New Roman" w:cs="Times New Roman"/>
          <w:sz w:val="24"/>
        </w:rPr>
        <w:t xml:space="preserve">he volatility of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the Kyrgyzstan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and of the</w:t>
      </w:r>
      <w:r>
        <w:rPr>
          <w:rFonts w:ascii="Times New Roman" w:hAnsi="Times New Roman" w:cs="Times New Roman"/>
          <w:sz w:val="24"/>
        </w:rPr>
        <w:t xml:space="preserve"> </w:t>
      </w:r>
      <w:r w:rsidRPr="0074218E">
        <w:rPr>
          <w:rFonts w:ascii="Times New Roman" w:hAnsi="Times New Roman" w:cs="Times New Roman"/>
          <w:sz w:val="24"/>
        </w:rPr>
        <w:t xml:space="preserve">somoni decreased after the Russian crisis and changed little during the third period. But the volatility of the 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increased from the first period to the second</w:t>
      </w:r>
      <w:r>
        <w:rPr>
          <w:rFonts w:ascii="Times New Roman" w:hAnsi="Times New Roman" w:cs="Times New Roman"/>
          <w:sz w:val="24"/>
        </w:rPr>
        <w:t xml:space="preserve">; </w:t>
      </w:r>
      <w:r w:rsidRPr="0074218E">
        <w:rPr>
          <w:rFonts w:ascii="Times New Roman" w:hAnsi="Times New Roman" w:cs="Times New Roman"/>
          <w:sz w:val="24"/>
        </w:rPr>
        <w:t>during the third period</w:t>
      </w:r>
      <w:r>
        <w:rPr>
          <w:rFonts w:ascii="Times New Roman" w:hAnsi="Times New Roman" w:cs="Times New Roman"/>
          <w:sz w:val="24"/>
        </w:rPr>
        <w:t>,</w:t>
      </w:r>
      <w:r w:rsidRPr="0074218E">
        <w:rPr>
          <w:rFonts w:ascii="Times New Roman" w:hAnsi="Times New Roman" w:cs="Times New Roman"/>
          <w:sz w:val="24"/>
        </w:rPr>
        <w:t xml:space="preserve"> it declined to its lowest level </w:t>
      </w:r>
      <w:r>
        <w:rPr>
          <w:rFonts w:ascii="Times New Roman" w:hAnsi="Times New Roman" w:cs="Times New Roman"/>
          <w:sz w:val="24"/>
        </w:rPr>
        <w:t xml:space="preserve">for </w:t>
      </w:r>
      <w:r w:rsidRPr="0074218E">
        <w:rPr>
          <w:rFonts w:ascii="Times New Roman" w:hAnsi="Times New Roman" w:cs="Times New Roman"/>
          <w:sz w:val="24"/>
        </w:rPr>
        <w:t xml:space="preserve">all three periods. </w:t>
      </w:r>
    </w:p>
    <w:p w:rsidR="00744513" w:rsidRDefault="00744513" w:rsidP="00744513">
      <w:pPr>
        <w:widowControl/>
        <w:spacing w:after="200" w:line="276" w:lineRule="auto"/>
        <w:rPr>
          <w:rFonts w:ascii="Times New Roman" w:hAnsi="Times New Roman" w:cs="Times New Roman"/>
          <w:sz w:val="24"/>
        </w:rPr>
      </w:pPr>
      <w:r>
        <w:rPr>
          <w:rFonts w:ascii="Times New Roman" w:hAnsi="Times New Roman" w:cs="Times New Roman"/>
          <w:sz w:val="24"/>
        </w:rPr>
        <w:br w:type="page"/>
      </w:r>
    </w:p>
    <w:p w:rsidR="00744513" w:rsidRDefault="00744513" w:rsidP="00744513">
      <w:pPr>
        <w:ind w:firstLine="840"/>
        <w:rPr>
          <w:rFonts w:ascii="Times New Roman" w:hAnsi="Times New Roman" w:cs="Times New Roman"/>
          <w:sz w:val="24"/>
        </w:rPr>
      </w:pPr>
    </w:p>
    <w:p w:rsidR="00744513" w:rsidRPr="0074218E" w:rsidRDefault="00744513" w:rsidP="00744513">
      <w:pPr>
        <w:rPr>
          <w:rFonts w:ascii="Times New Roman" w:hAnsi="Times New Roman" w:cs="Times New Roman"/>
          <w:sz w:val="24"/>
        </w:rPr>
      </w:pPr>
    </w:p>
    <w:tbl>
      <w:tblPr>
        <w:tblW w:w="9158" w:type="dxa"/>
        <w:tblInd w:w="99" w:type="dxa"/>
        <w:tblCellMar>
          <w:left w:w="99" w:type="dxa"/>
          <w:right w:w="99" w:type="dxa"/>
        </w:tblCellMar>
        <w:tblLook w:val="0000" w:firstRow="0" w:lastRow="0" w:firstColumn="0" w:lastColumn="0" w:noHBand="0" w:noVBand="0"/>
      </w:tblPr>
      <w:tblGrid>
        <w:gridCol w:w="1365"/>
        <w:gridCol w:w="1365"/>
        <w:gridCol w:w="1440"/>
        <w:gridCol w:w="1290"/>
        <w:gridCol w:w="1285"/>
        <w:gridCol w:w="1235"/>
        <w:gridCol w:w="1178"/>
      </w:tblGrid>
      <w:tr w:rsidR="00744513" w:rsidRPr="0074218E" w:rsidTr="00733706">
        <w:trPr>
          <w:trHeight w:val="395"/>
        </w:trPr>
        <w:tc>
          <w:tcPr>
            <w:tcW w:w="1365"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jc w:val="center"/>
              <w:rPr>
                <w:rFonts w:ascii="Times New Roman" w:hAnsi="Times New Roman" w:cs="Times New Roman"/>
                <w:sz w:val="20"/>
                <w:szCs w:val="20"/>
              </w:rPr>
            </w:pPr>
            <w:r w:rsidRPr="0074218E">
              <w:rPr>
                <w:rFonts w:ascii="Times New Roman" w:cs="Times New Roman"/>
                <w:sz w:val="20"/>
                <w:szCs w:val="20"/>
              </w:rPr>
              <w:t xml:space="preserve">　</w:t>
            </w:r>
          </w:p>
        </w:tc>
        <w:tc>
          <w:tcPr>
            <w:tcW w:w="136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Kazakhstan</w:t>
            </w:r>
          </w:p>
        </w:tc>
        <w:tc>
          <w:tcPr>
            <w:tcW w:w="1440"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90"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8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Uzbekistan</w:t>
            </w:r>
          </w:p>
        </w:tc>
        <w:tc>
          <w:tcPr>
            <w:tcW w:w="123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USA</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Russia</w:t>
            </w:r>
          </w:p>
        </w:tc>
      </w:tr>
      <w:tr w:rsidR="00744513" w:rsidRPr="0074218E" w:rsidTr="00733706">
        <w:trPr>
          <w:trHeight w:val="227"/>
        </w:trPr>
        <w:tc>
          <w:tcPr>
            <w:tcW w:w="1365" w:type="dxa"/>
            <w:tcBorders>
              <w:top w:val="single" w:sz="4" w:space="0" w:color="auto"/>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Mean</w:t>
            </w:r>
          </w:p>
        </w:tc>
        <w:tc>
          <w:tcPr>
            <w:tcW w:w="1365" w:type="dxa"/>
            <w:tcBorders>
              <w:top w:val="single" w:sz="4" w:space="0" w:color="auto"/>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-0.0005</w:t>
            </w:r>
          </w:p>
        </w:tc>
        <w:tc>
          <w:tcPr>
            <w:tcW w:w="1440" w:type="dxa"/>
            <w:tcBorders>
              <w:top w:val="single" w:sz="4" w:space="0" w:color="auto"/>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0.0096</w:t>
            </w:r>
          </w:p>
        </w:tc>
        <w:tc>
          <w:tcPr>
            <w:tcW w:w="1290" w:type="dxa"/>
            <w:tcBorders>
              <w:top w:val="single" w:sz="4" w:space="0" w:color="auto"/>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0.0795</w:t>
            </w:r>
          </w:p>
        </w:tc>
        <w:tc>
          <w:tcPr>
            <w:tcW w:w="1285" w:type="dxa"/>
            <w:tcBorders>
              <w:top w:val="single" w:sz="4" w:space="0" w:color="auto"/>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0.0254</w:t>
            </w:r>
          </w:p>
        </w:tc>
        <w:tc>
          <w:tcPr>
            <w:tcW w:w="1235" w:type="dxa"/>
            <w:tcBorders>
              <w:top w:val="single" w:sz="4" w:space="0" w:color="auto"/>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-0.0076</w:t>
            </w:r>
          </w:p>
        </w:tc>
        <w:tc>
          <w:tcPr>
            <w:tcW w:w="1178" w:type="dxa"/>
            <w:tcBorders>
              <w:top w:val="single" w:sz="4" w:space="0" w:color="auto"/>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0.0026</w:t>
            </w:r>
          </w:p>
        </w:tc>
      </w:tr>
      <w:tr w:rsidR="00744513" w:rsidRPr="0074218E" w:rsidTr="00733706">
        <w:trPr>
          <w:trHeight w:val="227"/>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Median</w:t>
            </w:r>
          </w:p>
        </w:tc>
        <w:tc>
          <w:tcPr>
            <w:tcW w:w="136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0.0007</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0.0061</w:t>
            </w:r>
          </w:p>
        </w:tc>
        <w:tc>
          <w:tcPr>
            <w:tcW w:w="129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0.0195</w:t>
            </w:r>
          </w:p>
        </w:tc>
        <w:tc>
          <w:tcPr>
            <w:tcW w:w="128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0.0215</w:t>
            </w:r>
          </w:p>
        </w:tc>
        <w:tc>
          <w:tcPr>
            <w:tcW w:w="123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-0.0128</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0.0004</w:t>
            </w:r>
          </w:p>
        </w:tc>
      </w:tr>
      <w:tr w:rsidR="00744513" w:rsidRPr="0074218E" w:rsidTr="00733706">
        <w:trPr>
          <w:trHeight w:val="227"/>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Maximum</w:t>
            </w:r>
          </w:p>
        </w:tc>
        <w:tc>
          <w:tcPr>
            <w:tcW w:w="136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0.0703</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0.1505</w:t>
            </w:r>
          </w:p>
        </w:tc>
        <w:tc>
          <w:tcPr>
            <w:tcW w:w="129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0.9244</w:t>
            </w:r>
          </w:p>
        </w:tc>
        <w:tc>
          <w:tcPr>
            <w:tcW w:w="128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0.1331</w:t>
            </w:r>
          </w:p>
        </w:tc>
        <w:tc>
          <w:tcPr>
            <w:tcW w:w="123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0.0378</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0.0536</w:t>
            </w:r>
          </w:p>
        </w:tc>
      </w:tr>
      <w:tr w:rsidR="00744513" w:rsidRPr="0074218E" w:rsidTr="00733706">
        <w:trPr>
          <w:trHeight w:val="227"/>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Minimum</w:t>
            </w:r>
          </w:p>
        </w:tc>
        <w:tc>
          <w:tcPr>
            <w:tcW w:w="136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-0.1281</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-0.0606</w:t>
            </w:r>
          </w:p>
        </w:tc>
        <w:tc>
          <w:tcPr>
            <w:tcW w:w="129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-0.0814</w:t>
            </w:r>
          </w:p>
        </w:tc>
        <w:tc>
          <w:tcPr>
            <w:tcW w:w="128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-0.0366</w:t>
            </w:r>
          </w:p>
        </w:tc>
        <w:tc>
          <w:tcPr>
            <w:tcW w:w="123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-0.0481</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-0.0353</w:t>
            </w:r>
          </w:p>
        </w:tc>
      </w:tr>
      <w:tr w:rsidR="00744513" w:rsidRPr="0074218E" w:rsidTr="00733706">
        <w:trPr>
          <w:trHeight w:val="227"/>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Std. Dev.</w:t>
            </w:r>
          </w:p>
        </w:tc>
        <w:tc>
          <w:tcPr>
            <w:tcW w:w="136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0.0362</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0.0444</w:t>
            </w:r>
          </w:p>
        </w:tc>
        <w:tc>
          <w:tcPr>
            <w:tcW w:w="129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0.1967</w:t>
            </w:r>
          </w:p>
        </w:tc>
        <w:tc>
          <w:tcPr>
            <w:tcW w:w="128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0.0432</w:t>
            </w:r>
          </w:p>
        </w:tc>
        <w:tc>
          <w:tcPr>
            <w:tcW w:w="123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0.0233</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0.0236</w:t>
            </w:r>
          </w:p>
        </w:tc>
      </w:tr>
      <w:tr w:rsidR="00744513" w:rsidRPr="0074218E" w:rsidTr="00733706">
        <w:trPr>
          <w:trHeight w:val="227"/>
        </w:trPr>
        <w:tc>
          <w:tcPr>
            <w:tcW w:w="1365" w:type="dxa"/>
            <w:tcBorders>
              <w:top w:val="nil"/>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Observations</w:t>
            </w:r>
          </w:p>
        </w:tc>
        <w:tc>
          <w:tcPr>
            <w:tcW w:w="136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29</w:t>
            </w:r>
          </w:p>
        </w:tc>
        <w:tc>
          <w:tcPr>
            <w:tcW w:w="144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29</w:t>
            </w:r>
          </w:p>
        </w:tc>
        <w:tc>
          <w:tcPr>
            <w:tcW w:w="129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29</w:t>
            </w:r>
          </w:p>
        </w:tc>
        <w:tc>
          <w:tcPr>
            <w:tcW w:w="128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29</w:t>
            </w:r>
          </w:p>
        </w:tc>
        <w:tc>
          <w:tcPr>
            <w:tcW w:w="123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29</w:t>
            </w:r>
          </w:p>
        </w:tc>
        <w:tc>
          <w:tcPr>
            <w:tcW w:w="1178" w:type="dxa"/>
            <w:tcBorders>
              <w:top w:val="nil"/>
              <w:left w:val="nil"/>
              <w:bottom w:val="single" w:sz="4" w:space="0" w:color="auto"/>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29</w:t>
            </w:r>
          </w:p>
        </w:tc>
      </w:tr>
    </w:tbl>
    <w:p w:rsidR="00744513" w:rsidRPr="0074218E" w:rsidRDefault="00744513" w:rsidP="00744513">
      <w:pPr>
        <w:ind w:leftChars="-59" w:left="-130" w:firstLineChars="62" w:firstLine="124"/>
        <w:rPr>
          <w:rFonts w:ascii="Times New Roman" w:hAnsi="Times New Roman" w:cs="Times New Roman"/>
          <w:sz w:val="20"/>
          <w:szCs w:val="20"/>
        </w:rPr>
      </w:pPr>
      <w:r w:rsidRPr="0074218E">
        <w:rPr>
          <w:rFonts w:ascii="Times New Roman" w:hAnsi="Times New Roman" w:cs="Times New Roman"/>
          <w:sz w:val="20"/>
          <w:szCs w:val="20"/>
        </w:rPr>
        <w:t xml:space="preserve">Note: The base currency on which the statistics are based is the Swiss franc. </w:t>
      </w: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t>Table 1:</w:t>
      </w:r>
      <w:r w:rsidRPr="0074218E">
        <w:rPr>
          <w:rFonts w:ascii="Times New Roman" w:hAnsi="Times New Roman" w:cs="Times New Roman"/>
          <w:sz w:val="24"/>
        </w:rPr>
        <w:t xml:space="preserve"> </w:t>
      </w:r>
      <w:r>
        <w:rPr>
          <w:rFonts w:ascii="Times New Roman" w:hAnsi="Times New Roman" w:cs="Times New Roman"/>
          <w:sz w:val="24"/>
        </w:rPr>
        <w:t>S</w:t>
      </w:r>
      <w:r w:rsidRPr="0074218E">
        <w:rPr>
          <w:rFonts w:ascii="Times New Roman" w:hAnsi="Times New Roman" w:cs="Times New Roman"/>
          <w:sz w:val="24"/>
        </w:rPr>
        <w:t>tatistics of monthly changes in nominal exchange rates (1/1995 – 12/1997).</w:t>
      </w:r>
    </w:p>
    <w:p w:rsidR="00744513" w:rsidRPr="0074218E" w:rsidRDefault="00744513" w:rsidP="00744513">
      <w:pPr>
        <w:rPr>
          <w:rFonts w:ascii="Times New Roman" w:hAnsi="Times New Roman" w:cs="Times New Roman"/>
          <w:sz w:val="20"/>
          <w:szCs w:val="20"/>
        </w:rPr>
      </w:pPr>
    </w:p>
    <w:tbl>
      <w:tblPr>
        <w:tblW w:w="9213" w:type="dxa"/>
        <w:tblInd w:w="99" w:type="dxa"/>
        <w:tblCellMar>
          <w:left w:w="99" w:type="dxa"/>
          <w:right w:w="99" w:type="dxa"/>
        </w:tblCellMar>
        <w:tblLook w:val="0000" w:firstRow="0" w:lastRow="0" w:firstColumn="0" w:lastColumn="0" w:noHBand="0" w:noVBand="0"/>
      </w:tblPr>
      <w:tblGrid>
        <w:gridCol w:w="1365"/>
        <w:gridCol w:w="1415"/>
        <w:gridCol w:w="1440"/>
        <w:gridCol w:w="1345"/>
        <w:gridCol w:w="1278"/>
        <w:gridCol w:w="1192"/>
        <w:gridCol w:w="1178"/>
      </w:tblGrid>
      <w:tr w:rsidR="00744513" w:rsidRPr="0074218E" w:rsidTr="00733706">
        <w:trPr>
          <w:trHeight w:val="339"/>
        </w:trPr>
        <w:tc>
          <w:tcPr>
            <w:tcW w:w="1365"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jc w:val="center"/>
              <w:rPr>
                <w:rFonts w:ascii="Times New Roman" w:hAnsi="Times New Roman" w:cs="Times New Roman"/>
                <w:sz w:val="20"/>
                <w:szCs w:val="20"/>
              </w:rPr>
            </w:pPr>
          </w:p>
        </w:tc>
        <w:tc>
          <w:tcPr>
            <w:tcW w:w="141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Kazakhstan</w:t>
            </w:r>
          </w:p>
        </w:tc>
        <w:tc>
          <w:tcPr>
            <w:tcW w:w="1440"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Kyrgyzstan</w:t>
            </w:r>
          </w:p>
        </w:tc>
        <w:tc>
          <w:tcPr>
            <w:tcW w:w="134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78"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Uzbekistan</w:t>
            </w:r>
          </w:p>
        </w:tc>
        <w:tc>
          <w:tcPr>
            <w:tcW w:w="1192"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USA</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Russia</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Mean</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0.0026</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0.0020</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0.0126</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0.0260</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0.0041</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0.0030</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Median</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-0.0007</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0.0010</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0.0093</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0.0137</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0.0007</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-0.0016</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Maximum</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0.0774</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0.0899</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0.1052</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0.4465</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0.0750</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0.0559</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Minimum</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-0.0504</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-0.0759</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-0.0381</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-0.0502</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-0.0396</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-0.0350</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Std. Dev.</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0.0242</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0.0323</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0.0281</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0.0693</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0.0241</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0.0227</w:t>
            </w:r>
          </w:p>
        </w:tc>
      </w:tr>
      <w:tr w:rsidR="00744513" w:rsidRPr="0074218E" w:rsidTr="00733706">
        <w:trPr>
          <w:trHeight w:val="330"/>
        </w:trPr>
        <w:tc>
          <w:tcPr>
            <w:tcW w:w="1365" w:type="dxa"/>
            <w:tcBorders>
              <w:top w:val="nil"/>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Observations</w:t>
            </w:r>
          </w:p>
        </w:tc>
        <w:tc>
          <w:tcPr>
            <w:tcW w:w="141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102</w:t>
            </w:r>
          </w:p>
        </w:tc>
        <w:tc>
          <w:tcPr>
            <w:tcW w:w="144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102</w:t>
            </w:r>
          </w:p>
        </w:tc>
        <w:tc>
          <w:tcPr>
            <w:tcW w:w="134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102</w:t>
            </w:r>
          </w:p>
        </w:tc>
        <w:tc>
          <w:tcPr>
            <w:tcW w:w="1278"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102</w:t>
            </w:r>
          </w:p>
        </w:tc>
        <w:tc>
          <w:tcPr>
            <w:tcW w:w="1192"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102</w:t>
            </w:r>
          </w:p>
        </w:tc>
        <w:tc>
          <w:tcPr>
            <w:tcW w:w="1178" w:type="dxa"/>
            <w:tcBorders>
              <w:top w:val="nil"/>
              <w:left w:val="nil"/>
              <w:bottom w:val="single" w:sz="4" w:space="0" w:color="auto"/>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102</w:t>
            </w:r>
          </w:p>
        </w:tc>
      </w:tr>
    </w:tbl>
    <w:p w:rsidR="00744513" w:rsidRPr="0074218E" w:rsidRDefault="00744513" w:rsidP="00744513">
      <w:pPr>
        <w:ind w:leftChars="-59" w:left="-130" w:firstLineChars="62" w:firstLine="124"/>
        <w:rPr>
          <w:rFonts w:ascii="Times New Roman" w:hAnsi="Times New Roman" w:cs="Times New Roman"/>
          <w:sz w:val="20"/>
          <w:szCs w:val="20"/>
        </w:rPr>
      </w:pPr>
      <w:r w:rsidRPr="0074218E">
        <w:rPr>
          <w:rFonts w:ascii="Times New Roman" w:hAnsi="Times New Roman" w:cs="Times New Roman"/>
          <w:sz w:val="20"/>
          <w:szCs w:val="20"/>
        </w:rPr>
        <w:t>Note: The base currency on which the statistics are based is the Swiss franc.</w:t>
      </w:r>
    </w:p>
    <w:p w:rsidR="00744513" w:rsidRPr="0074218E" w:rsidRDefault="00744513" w:rsidP="00744513">
      <w:pPr>
        <w:ind w:hanging="2"/>
        <w:jc w:val="center"/>
        <w:rPr>
          <w:rFonts w:ascii="Times New Roman" w:hAnsi="Times New Roman" w:cs="Times New Roman"/>
          <w:sz w:val="24"/>
        </w:rPr>
      </w:pPr>
      <w:r>
        <w:rPr>
          <w:rFonts w:ascii="Times New Roman" w:hAnsi="Times New Roman" w:cs="Times New Roman"/>
          <w:sz w:val="24"/>
        </w:rPr>
        <w:t>Table 2:</w:t>
      </w:r>
      <w:r w:rsidRPr="0074218E">
        <w:rPr>
          <w:rFonts w:ascii="Times New Roman" w:hAnsi="Times New Roman" w:cs="Times New Roman"/>
          <w:sz w:val="24"/>
        </w:rPr>
        <w:t xml:space="preserve"> </w:t>
      </w:r>
      <w:r>
        <w:rPr>
          <w:rFonts w:ascii="Times New Roman" w:hAnsi="Times New Roman" w:cs="Times New Roman"/>
          <w:sz w:val="24"/>
        </w:rPr>
        <w:t>S</w:t>
      </w:r>
      <w:r w:rsidRPr="0074218E">
        <w:rPr>
          <w:rFonts w:ascii="Times New Roman" w:hAnsi="Times New Roman" w:cs="Times New Roman"/>
          <w:sz w:val="24"/>
        </w:rPr>
        <w:t>tatistics of monthly changes in nominal exchange rates (1/2000 – 6/2008).</w:t>
      </w:r>
    </w:p>
    <w:p w:rsidR="00744513" w:rsidRDefault="00744513" w:rsidP="00744513">
      <w:pPr>
        <w:ind w:leftChars="-59" w:left="-130" w:firstLineChars="9" w:firstLine="18"/>
        <w:rPr>
          <w:rFonts w:ascii="Times New Roman" w:hAnsi="Times New Roman" w:cs="Times New Roman"/>
          <w:sz w:val="20"/>
          <w:szCs w:val="20"/>
        </w:rPr>
      </w:pPr>
    </w:p>
    <w:tbl>
      <w:tblPr>
        <w:tblW w:w="9213" w:type="dxa"/>
        <w:tblInd w:w="99" w:type="dxa"/>
        <w:tblCellMar>
          <w:left w:w="99" w:type="dxa"/>
          <w:right w:w="99" w:type="dxa"/>
        </w:tblCellMar>
        <w:tblLook w:val="0000" w:firstRow="0" w:lastRow="0" w:firstColumn="0" w:lastColumn="0" w:noHBand="0" w:noVBand="0"/>
      </w:tblPr>
      <w:tblGrid>
        <w:gridCol w:w="1365"/>
        <w:gridCol w:w="1415"/>
        <w:gridCol w:w="1440"/>
        <w:gridCol w:w="1345"/>
        <w:gridCol w:w="1278"/>
        <w:gridCol w:w="1192"/>
        <w:gridCol w:w="1178"/>
      </w:tblGrid>
      <w:tr w:rsidR="00744513" w:rsidRPr="0074218E" w:rsidTr="00733706">
        <w:trPr>
          <w:trHeight w:val="344"/>
        </w:trPr>
        <w:tc>
          <w:tcPr>
            <w:tcW w:w="1365"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p>
        </w:tc>
        <w:tc>
          <w:tcPr>
            <w:tcW w:w="141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Kazakhstan</w:t>
            </w:r>
          </w:p>
        </w:tc>
        <w:tc>
          <w:tcPr>
            <w:tcW w:w="1440"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Kyrgyzstan</w:t>
            </w:r>
          </w:p>
        </w:tc>
        <w:tc>
          <w:tcPr>
            <w:tcW w:w="1345"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78"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Uzbekistan</w:t>
            </w:r>
          </w:p>
        </w:tc>
        <w:tc>
          <w:tcPr>
            <w:tcW w:w="1192" w:type="dxa"/>
            <w:tcBorders>
              <w:top w:val="single" w:sz="4" w:space="0" w:color="auto"/>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 xml:space="preserve">USA </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Russia</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Mean</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0.0048</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0.0060</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0.0043</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0.0089</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0.0019</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0.0104</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Median</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0.0009</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0.0102</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0.0084</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0.0115</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0.0013</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0.0062</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Maximum</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0.1222</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0.0686</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0.0700</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0.0640</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0.0672</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0.1848</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Minimum</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-0.1025</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-0.1262</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-0.0891</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-0.1164</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-0.1103</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-0.0434</w:t>
            </w:r>
          </w:p>
        </w:tc>
      </w:tr>
      <w:tr w:rsidR="00744513" w:rsidRPr="0074218E" w:rsidTr="00733706">
        <w:trPr>
          <w:trHeight w:val="330"/>
        </w:trPr>
        <w:tc>
          <w:tcPr>
            <w:tcW w:w="136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Std. Dev.</w:t>
            </w:r>
          </w:p>
        </w:tc>
        <w:tc>
          <w:tcPr>
            <w:tcW w:w="141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0.0309</w:t>
            </w:r>
          </w:p>
        </w:tc>
        <w:tc>
          <w:tcPr>
            <w:tcW w:w="144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0.0304</w:t>
            </w:r>
          </w:p>
        </w:tc>
        <w:tc>
          <w:tcPr>
            <w:tcW w:w="134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0.0299</w:t>
            </w:r>
          </w:p>
        </w:tc>
        <w:tc>
          <w:tcPr>
            <w:tcW w:w="1278"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0.0280</w:t>
            </w:r>
          </w:p>
        </w:tc>
        <w:tc>
          <w:tcPr>
            <w:tcW w:w="1192"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0.0259</w:t>
            </w:r>
          </w:p>
        </w:tc>
        <w:tc>
          <w:tcPr>
            <w:tcW w:w="1178" w:type="dxa"/>
            <w:tcBorders>
              <w:top w:val="nil"/>
              <w:left w:val="nil"/>
              <w:bottom w:val="nil"/>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0.0357</w:t>
            </w:r>
          </w:p>
        </w:tc>
      </w:tr>
      <w:tr w:rsidR="00744513" w:rsidRPr="0074218E" w:rsidTr="00733706">
        <w:trPr>
          <w:trHeight w:val="330"/>
        </w:trPr>
        <w:tc>
          <w:tcPr>
            <w:tcW w:w="1365" w:type="dxa"/>
            <w:tcBorders>
              <w:top w:val="nil"/>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Observations</w:t>
            </w:r>
          </w:p>
        </w:tc>
        <w:tc>
          <w:tcPr>
            <w:tcW w:w="141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67</w:t>
            </w:r>
          </w:p>
        </w:tc>
        <w:tc>
          <w:tcPr>
            <w:tcW w:w="144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67</w:t>
            </w:r>
          </w:p>
        </w:tc>
        <w:tc>
          <w:tcPr>
            <w:tcW w:w="134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67</w:t>
            </w:r>
          </w:p>
        </w:tc>
        <w:tc>
          <w:tcPr>
            <w:tcW w:w="1278"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67</w:t>
            </w:r>
          </w:p>
        </w:tc>
        <w:tc>
          <w:tcPr>
            <w:tcW w:w="1192"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67</w:t>
            </w:r>
          </w:p>
        </w:tc>
        <w:tc>
          <w:tcPr>
            <w:tcW w:w="1178" w:type="dxa"/>
            <w:tcBorders>
              <w:top w:val="nil"/>
              <w:left w:val="nil"/>
              <w:bottom w:val="single" w:sz="4" w:space="0" w:color="auto"/>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67</w:t>
            </w:r>
          </w:p>
        </w:tc>
      </w:tr>
    </w:tbl>
    <w:p w:rsidR="00744513" w:rsidRPr="0074218E" w:rsidRDefault="00744513" w:rsidP="00744513">
      <w:pPr>
        <w:rPr>
          <w:rFonts w:ascii="Times New Roman" w:hAnsi="Times New Roman" w:cs="Times New Roman"/>
          <w:sz w:val="20"/>
          <w:szCs w:val="20"/>
        </w:rPr>
      </w:pPr>
      <w:r w:rsidRPr="0074218E">
        <w:rPr>
          <w:rFonts w:ascii="Times New Roman" w:hAnsi="Times New Roman" w:cs="Times New Roman"/>
          <w:sz w:val="20"/>
          <w:szCs w:val="20"/>
        </w:rPr>
        <w:t>Note: The base currency on which the statistics are based is the Swiss franc.</w:t>
      </w: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t>Table 3:</w:t>
      </w:r>
      <w:r w:rsidRPr="0074218E">
        <w:rPr>
          <w:rFonts w:ascii="Times New Roman" w:hAnsi="Times New Roman" w:cs="Times New Roman"/>
          <w:sz w:val="24"/>
        </w:rPr>
        <w:t xml:space="preserve"> </w:t>
      </w:r>
      <w:r>
        <w:rPr>
          <w:rFonts w:ascii="Times New Roman" w:hAnsi="Times New Roman" w:cs="Times New Roman"/>
          <w:sz w:val="24"/>
        </w:rPr>
        <w:t>S</w:t>
      </w:r>
      <w:r w:rsidRPr="0074218E">
        <w:rPr>
          <w:rFonts w:ascii="Times New Roman" w:hAnsi="Times New Roman" w:cs="Times New Roman"/>
          <w:sz w:val="24"/>
        </w:rPr>
        <w:t>tatistics of monthly changes in nominal exchange rates (6/2009 – 12/2014)</w:t>
      </w:r>
    </w:p>
    <w:p w:rsidR="00744513" w:rsidRDefault="00744513" w:rsidP="00744513">
      <w:pPr>
        <w:ind w:firstLine="840"/>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Tables 4</w:t>
      </w:r>
      <w:r>
        <w:rPr>
          <w:rFonts w:ascii="Times New Roman" w:hAnsi="Times New Roman" w:cs="Times New Roman"/>
          <w:sz w:val="24"/>
        </w:rPr>
        <w:t>-</w:t>
      </w:r>
      <w:r w:rsidRPr="0074218E">
        <w:rPr>
          <w:rFonts w:ascii="Times New Roman" w:hAnsi="Times New Roman" w:cs="Times New Roman"/>
          <w:sz w:val="24"/>
        </w:rPr>
        <w:t xml:space="preserve">6 present the correlation matrix of monthly changes in the nominal exchange rates against the Swiss franc </w:t>
      </w:r>
      <w:r>
        <w:rPr>
          <w:rFonts w:ascii="Times New Roman" w:hAnsi="Times New Roman" w:cs="Times New Roman"/>
          <w:sz w:val="24"/>
        </w:rPr>
        <w:t xml:space="preserve">for </w:t>
      </w:r>
      <w:r w:rsidRPr="0074218E">
        <w:rPr>
          <w:rFonts w:ascii="Times New Roman" w:hAnsi="Times New Roman" w:cs="Times New Roman"/>
          <w:sz w:val="24"/>
        </w:rPr>
        <w:t xml:space="preserve">each of the three </w:t>
      </w:r>
      <w:r>
        <w:rPr>
          <w:rFonts w:ascii="Times New Roman" w:hAnsi="Times New Roman" w:cs="Times New Roman"/>
          <w:sz w:val="24"/>
        </w:rPr>
        <w:t>period</w:t>
      </w:r>
      <w:r w:rsidRPr="0074218E">
        <w:rPr>
          <w:rFonts w:ascii="Times New Roman" w:hAnsi="Times New Roman" w:cs="Times New Roman"/>
          <w:sz w:val="24"/>
        </w:rPr>
        <w:t xml:space="preserve">s. All </w:t>
      </w:r>
      <w:r>
        <w:rPr>
          <w:rFonts w:ascii="Times New Roman" w:hAnsi="Times New Roman" w:cs="Times New Roman"/>
          <w:sz w:val="24"/>
        </w:rPr>
        <w:t xml:space="preserve">currencies </w:t>
      </w:r>
      <w:r w:rsidRPr="0074218E">
        <w:rPr>
          <w:rFonts w:ascii="Times New Roman" w:hAnsi="Times New Roman" w:cs="Times New Roman"/>
          <w:sz w:val="24"/>
        </w:rPr>
        <w:t xml:space="preserve">correlated </w:t>
      </w:r>
      <w:r>
        <w:rPr>
          <w:rFonts w:ascii="Times New Roman" w:hAnsi="Times New Roman" w:cs="Times New Roman"/>
          <w:sz w:val="24"/>
        </w:rPr>
        <w:t xml:space="preserve">positively </w:t>
      </w:r>
      <w:r w:rsidRPr="0074218E">
        <w:rPr>
          <w:rFonts w:ascii="Times New Roman" w:hAnsi="Times New Roman" w:cs="Times New Roman"/>
          <w:sz w:val="24"/>
        </w:rPr>
        <w:t xml:space="preserve">with each other during all </w:t>
      </w:r>
      <w:r>
        <w:rPr>
          <w:rFonts w:ascii="Times New Roman" w:hAnsi="Times New Roman" w:cs="Times New Roman"/>
          <w:sz w:val="24"/>
        </w:rPr>
        <w:t>periods</w:t>
      </w:r>
      <w:r w:rsidRPr="0074218E">
        <w:rPr>
          <w:rFonts w:ascii="Times New Roman" w:hAnsi="Times New Roman" w:cs="Times New Roman"/>
          <w:sz w:val="24"/>
        </w:rPr>
        <w:t xml:space="preserve">. </w:t>
      </w:r>
      <w:r>
        <w:rPr>
          <w:rFonts w:ascii="Times New Roman" w:hAnsi="Times New Roman" w:cs="Times New Roman"/>
          <w:sz w:val="24"/>
        </w:rPr>
        <w:t>T</w:t>
      </w:r>
      <w:r w:rsidRPr="0074218E">
        <w:rPr>
          <w:rFonts w:ascii="Times New Roman" w:hAnsi="Times New Roman" w:cs="Times New Roman"/>
          <w:sz w:val="24"/>
        </w:rPr>
        <w:t xml:space="preserve">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shows a high correlation with the dollar and the</w:t>
      </w:r>
      <w:r>
        <w:rPr>
          <w:rFonts w:ascii="Times New Roman" w:hAnsi="Times New Roman" w:cs="Times New Roman"/>
          <w:sz w:val="24"/>
        </w:rPr>
        <w:t xml:space="preserve"> </w:t>
      </w:r>
      <w:r w:rsidRPr="0074218E">
        <w:rPr>
          <w:rFonts w:ascii="Times New Roman" w:hAnsi="Times New Roman" w:cs="Times New Roman"/>
          <w:sz w:val="24"/>
        </w:rPr>
        <w:t xml:space="preserve">ruble </w:t>
      </w:r>
      <w:r>
        <w:rPr>
          <w:rFonts w:ascii="Times New Roman" w:hAnsi="Times New Roman" w:cs="Times New Roman"/>
          <w:sz w:val="24"/>
        </w:rPr>
        <w:t>in</w:t>
      </w:r>
      <w:r w:rsidRPr="0074218E">
        <w:rPr>
          <w:rFonts w:ascii="Times New Roman" w:hAnsi="Times New Roman" w:cs="Times New Roman"/>
          <w:sz w:val="24"/>
        </w:rPr>
        <w:t xml:space="preserve"> the first </w:t>
      </w:r>
      <w:r>
        <w:rPr>
          <w:rFonts w:ascii="Times New Roman" w:hAnsi="Times New Roman" w:cs="Times New Roman"/>
          <w:sz w:val="24"/>
        </w:rPr>
        <w:t>two period</w:t>
      </w:r>
      <w:r w:rsidRPr="0074218E">
        <w:rPr>
          <w:rFonts w:ascii="Times New Roman" w:hAnsi="Times New Roman" w:cs="Times New Roman"/>
          <w:sz w:val="24"/>
        </w:rPr>
        <w:t>s</w:t>
      </w:r>
      <w:r>
        <w:rPr>
          <w:rFonts w:ascii="Times New Roman" w:hAnsi="Times New Roman" w:cs="Times New Roman"/>
          <w:sz w:val="24"/>
        </w:rPr>
        <w:t xml:space="preserve"> and </w:t>
      </w:r>
      <w:r w:rsidRPr="0074218E">
        <w:rPr>
          <w:rFonts w:ascii="Times New Roman" w:hAnsi="Times New Roman" w:cs="Times New Roman"/>
          <w:sz w:val="24"/>
        </w:rPr>
        <w:t xml:space="preserve">with the dollar </w:t>
      </w:r>
      <w:r>
        <w:rPr>
          <w:rFonts w:ascii="Times New Roman" w:hAnsi="Times New Roman" w:cs="Times New Roman"/>
          <w:sz w:val="24"/>
        </w:rPr>
        <w:t xml:space="preserve">in </w:t>
      </w:r>
      <w:r w:rsidRPr="0074218E">
        <w:rPr>
          <w:rFonts w:ascii="Times New Roman" w:hAnsi="Times New Roman" w:cs="Times New Roman"/>
          <w:sz w:val="24"/>
        </w:rPr>
        <w:t xml:space="preserve">the third </w:t>
      </w:r>
      <w:r>
        <w:rPr>
          <w:rFonts w:ascii="Times New Roman" w:hAnsi="Times New Roman" w:cs="Times New Roman"/>
          <w:sz w:val="24"/>
        </w:rPr>
        <w:t>period</w:t>
      </w:r>
      <w:r w:rsidRPr="0074218E">
        <w:rPr>
          <w:rFonts w:ascii="Times New Roman" w:hAnsi="Times New Roman" w:cs="Times New Roman"/>
          <w:sz w:val="24"/>
        </w:rPr>
        <w:t xml:space="preserve">, while it has a lower correlation with the ruble in this </w:t>
      </w:r>
      <w:r>
        <w:rPr>
          <w:rFonts w:ascii="Times New Roman" w:hAnsi="Times New Roman" w:cs="Times New Roman"/>
          <w:sz w:val="24"/>
        </w:rPr>
        <w:t>period</w:t>
      </w:r>
      <w:r w:rsidRPr="0074218E">
        <w:rPr>
          <w:rFonts w:ascii="Times New Roman" w:hAnsi="Times New Roman" w:cs="Times New Roman"/>
          <w:sz w:val="24"/>
        </w:rPr>
        <w:t xml:space="preserve">. For the Kyrgyzstan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and the somoni, correlations with the dollar and the ruble increased from the first to </w:t>
      </w:r>
      <w:r>
        <w:rPr>
          <w:rFonts w:ascii="Times New Roman" w:hAnsi="Times New Roman" w:cs="Times New Roman"/>
          <w:sz w:val="24"/>
        </w:rPr>
        <w:t xml:space="preserve">the </w:t>
      </w:r>
      <w:r w:rsidRPr="0074218E">
        <w:rPr>
          <w:rFonts w:ascii="Times New Roman" w:hAnsi="Times New Roman" w:cs="Times New Roman"/>
          <w:sz w:val="24"/>
        </w:rPr>
        <w:t xml:space="preserve">second </w:t>
      </w:r>
      <w:r>
        <w:rPr>
          <w:rFonts w:ascii="Times New Roman" w:hAnsi="Times New Roman" w:cs="Times New Roman"/>
          <w:sz w:val="24"/>
        </w:rPr>
        <w:t>period</w:t>
      </w:r>
      <w:r w:rsidRPr="0074218E">
        <w:rPr>
          <w:rFonts w:ascii="Times New Roman" w:hAnsi="Times New Roman" w:cs="Times New Roman"/>
          <w:sz w:val="24"/>
        </w:rPr>
        <w:t xml:space="preserve">. </w:t>
      </w:r>
      <w:r>
        <w:rPr>
          <w:rFonts w:ascii="Times New Roman" w:hAnsi="Times New Roman" w:cs="Times New Roman"/>
          <w:sz w:val="24"/>
        </w:rPr>
        <w:t>T</w:t>
      </w:r>
      <w:r w:rsidRPr="0074218E">
        <w:rPr>
          <w:rFonts w:ascii="Times New Roman" w:hAnsi="Times New Roman" w:cs="Times New Roman"/>
          <w:sz w:val="24"/>
        </w:rPr>
        <w:t xml:space="preserve">heir correlations with the dollar further increased during the third </w:t>
      </w:r>
      <w:r>
        <w:rPr>
          <w:rFonts w:ascii="Times New Roman" w:hAnsi="Times New Roman" w:cs="Times New Roman"/>
          <w:sz w:val="24"/>
        </w:rPr>
        <w:t>period</w:t>
      </w:r>
      <w:r w:rsidRPr="0074218E">
        <w:rPr>
          <w:rFonts w:ascii="Times New Roman" w:hAnsi="Times New Roman" w:cs="Times New Roman"/>
          <w:sz w:val="24"/>
        </w:rPr>
        <w:t xml:space="preserve">, while their correlations with the ruble decreased during this </w:t>
      </w:r>
      <w:r>
        <w:rPr>
          <w:rFonts w:ascii="Times New Roman" w:hAnsi="Times New Roman" w:cs="Times New Roman"/>
          <w:sz w:val="24"/>
        </w:rPr>
        <w:t>period</w:t>
      </w:r>
      <w:r w:rsidRPr="0074218E">
        <w:rPr>
          <w:rFonts w:ascii="Times New Roman" w:hAnsi="Times New Roman" w:cs="Times New Roman"/>
          <w:sz w:val="24"/>
        </w:rPr>
        <w:t xml:space="preserve">. In contrast, for the 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correlation with the dollar and the ruble declined after the Russian crisis. After the 2008-9 crisis, its correlation with the dollar increased, wh</w:t>
      </w:r>
      <w:r>
        <w:rPr>
          <w:rFonts w:ascii="Times New Roman" w:hAnsi="Times New Roman" w:cs="Times New Roman"/>
          <w:sz w:val="24"/>
        </w:rPr>
        <w:t>ile</w:t>
      </w:r>
      <w:r w:rsidRPr="0074218E">
        <w:rPr>
          <w:rFonts w:ascii="Times New Roman" w:hAnsi="Times New Roman" w:cs="Times New Roman"/>
          <w:sz w:val="24"/>
        </w:rPr>
        <w:t xml:space="preserve"> </w:t>
      </w:r>
      <w:r>
        <w:rPr>
          <w:rFonts w:ascii="Times New Roman" w:hAnsi="Times New Roman" w:cs="Times New Roman"/>
          <w:sz w:val="24"/>
        </w:rPr>
        <w:t>its</w:t>
      </w:r>
      <w:r w:rsidRPr="0074218E">
        <w:rPr>
          <w:rFonts w:ascii="Times New Roman" w:hAnsi="Times New Roman" w:cs="Times New Roman"/>
          <w:sz w:val="24"/>
        </w:rPr>
        <w:t xml:space="preserve"> correlation with the ruble declined further. Moreover, correlations among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the Kyrgyzstan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and the somoni increased from period to period</w:t>
      </w:r>
      <w:r>
        <w:rPr>
          <w:rFonts w:ascii="Times New Roman" w:hAnsi="Times New Roman" w:cs="Times New Roman"/>
          <w:sz w:val="24"/>
        </w:rPr>
        <w:t>. F</w:t>
      </w:r>
      <w:r w:rsidRPr="0074218E">
        <w:rPr>
          <w:rFonts w:ascii="Times New Roman" w:hAnsi="Times New Roman" w:cs="Times New Roman"/>
          <w:sz w:val="24"/>
        </w:rPr>
        <w:t xml:space="preserve">or the 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the correlations with the Kazakhstan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the Kyrgyzstan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and the Tajikistan somoni also increased from the first to </w:t>
      </w:r>
      <w:r>
        <w:rPr>
          <w:rFonts w:ascii="Times New Roman" w:hAnsi="Times New Roman" w:cs="Times New Roman"/>
          <w:sz w:val="24"/>
        </w:rPr>
        <w:t xml:space="preserve">the </w:t>
      </w:r>
      <w:r w:rsidRPr="0074218E">
        <w:rPr>
          <w:rFonts w:ascii="Times New Roman" w:hAnsi="Times New Roman" w:cs="Times New Roman"/>
          <w:sz w:val="24"/>
        </w:rPr>
        <w:t xml:space="preserve">third </w:t>
      </w:r>
      <w:r>
        <w:rPr>
          <w:rFonts w:ascii="Times New Roman" w:hAnsi="Times New Roman" w:cs="Times New Roman"/>
          <w:sz w:val="24"/>
        </w:rPr>
        <w:t xml:space="preserve">period but </w:t>
      </w:r>
      <w:r w:rsidRPr="0074218E">
        <w:rPr>
          <w:rFonts w:ascii="Times New Roman" w:hAnsi="Times New Roman" w:cs="Times New Roman"/>
          <w:sz w:val="24"/>
        </w:rPr>
        <w:t>decline</w:t>
      </w:r>
      <w:r>
        <w:rPr>
          <w:rFonts w:ascii="Times New Roman" w:hAnsi="Times New Roman" w:cs="Times New Roman"/>
          <w:sz w:val="24"/>
        </w:rPr>
        <w:t>d</w:t>
      </w:r>
      <w:r w:rsidRPr="0074218E">
        <w:rPr>
          <w:rFonts w:ascii="Times New Roman" w:hAnsi="Times New Roman" w:cs="Times New Roman"/>
          <w:sz w:val="24"/>
        </w:rPr>
        <w:t xml:space="preserve"> </w:t>
      </w:r>
      <w:r>
        <w:rPr>
          <w:rFonts w:ascii="Times New Roman" w:hAnsi="Times New Roman" w:cs="Times New Roman"/>
          <w:sz w:val="24"/>
        </w:rPr>
        <w:t xml:space="preserve">in </w:t>
      </w:r>
      <w:r w:rsidRPr="0074218E">
        <w:rPr>
          <w:rFonts w:ascii="Times New Roman" w:hAnsi="Times New Roman" w:cs="Times New Roman"/>
          <w:sz w:val="24"/>
        </w:rPr>
        <w:t xml:space="preserve">the second </w:t>
      </w:r>
      <w:r>
        <w:rPr>
          <w:rFonts w:ascii="Times New Roman" w:hAnsi="Times New Roman" w:cs="Times New Roman"/>
          <w:sz w:val="24"/>
        </w:rPr>
        <w:t>period</w:t>
      </w:r>
      <w:r w:rsidRPr="0074218E">
        <w:rPr>
          <w:rFonts w:ascii="Times New Roman" w:hAnsi="Times New Roman" w:cs="Times New Roman"/>
          <w:sz w:val="24"/>
        </w:rPr>
        <w:t>.</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lastRenderedPageBreak/>
        <w:t xml:space="preserve">To sum up, the volatilities of all national currencies decreased from the first </w:t>
      </w:r>
      <w:r>
        <w:rPr>
          <w:rFonts w:ascii="Times New Roman" w:hAnsi="Times New Roman" w:cs="Times New Roman"/>
          <w:sz w:val="24"/>
        </w:rPr>
        <w:t>period</w:t>
      </w:r>
      <w:r w:rsidRPr="0074218E">
        <w:rPr>
          <w:rFonts w:ascii="Times New Roman" w:hAnsi="Times New Roman" w:cs="Times New Roman"/>
          <w:sz w:val="24"/>
        </w:rPr>
        <w:t xml:space="preserve"> to th</w:t>
      </w:r>
      <w:r>
        <w:rPr>
          <w:rFonts w:ascii="Times New Roman" w:hAnsi="Times New Roman" w:cs="Times New Roman"/>
          <w:sz w:val="24"/>
        </w:rPr>
        <w:t xml:space="preserve">e </w:t>
      </w:r>
      <w:r w:rsidRPr="0074218E">
        <w:rPr>
          <w:rFonts w:ascii="Times New Roman" w:hAnsi="Times New Roman" w:cs="Times New Roman"/>
          <w:sz w:val="24"/>
        </w:rPr>
        <w:t xml:space="preserve">last, </w:t>
      </w:r>
      <w:r>
        <w:rPr>
          <w:rFonts w:ascii="Times New Roman" w:hAnsi="Times New Roman" w:cs="Times New Roman"/>
          <w:sz w:val="24"/>
        </w:rPr>
        <w:t>although</w:t>
      </w:r>
      <w:r w:rsidRPr="0074218E">
        <w:rPr>
          <w:rFonts w:ascii="Times New Roman" w:hAnsi="Times New Roman" w:cs="Times New Roman"/>
          <w:sz w:val="24"/>
        </w:rPr>
        <w:t xml:space="preserve"> the </w:t>
      </w:r>
      <w:r>
        <w:rPr>
          <w:rFonts w:ascii="Times New Roman" w:hAnsi="Times New Roman" w:cs="Times New Roman"/>
          <w:sz w:val="24"/>
        </w:rPr>
        <w:t xml:space="preserve">volatility of the </w:t>
      </w:r>
      <w:r w:rsidRPr="0074218E">
        <w:rPr>
          <w:rFonts w:ascii="Times New Roman" w:hAnsi="Times New Roman" w:cs="Times New Roman"/>
          <w:sz w:val="24"/>
        </w:rPr>
        <w:t xml:space="preserve">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w:t>
      </w:r>
      <w:r>
        <w:rPr>
          <w:rFonts w:ascii="Times New Roman" w:hAnsi="Times New Roman" w:cs="Times New Roman"/>
          <w:sz w:val="24"/>
        </w:rPr>
        <w:t xml:space="preserve">increased </w:t>
      </w:r>
      <w:r w:rsidRPr="0074218E">
        <w:rPr>
          <w:rFonts w:ascii="Times New Roman" w:hAnsi="Times New Roman" w:cs="Times New Roman"/>
          <w:sz w:val="24"/>
        </w:rPr>
        <w:t xml:space="preserve">in the second </w:t>
      </w:r>
      <w:r>
        <w:rPr>
          <w:rFonts w:ascii="Times New Roman" w:hAnsi="Times New Roman" w:cs="Times New Roman"/>
          <w:sz w:val="24"/>
        </w:rPr>
        <w:t>period</w:t>
      </w:r>
      <w:r w:rsidRPr="0074218E">
        <w:rPr>
          <w:rFonts w:ascii="Times New Roman" w:hAnsi="Times New Roman" w:cs="Times New Roman"/>
          <w:sz w:val="24"/>
        </w:rPr>
        <w:t xml:space="preserve">. Correlations among Central Asian currencies increased considerably from the first </w:t>
      </w:r>
      <w:r>
        <w:rPr>
          <w:rFonts w:ascii="Times New Roman" w:hAnsi="Times New Roman" w:cs="Times New Roman"/>
          <w:sz w:val="24"/>
        </w:rPr>
        <w:t>period</w:t>
      </w:r>
      <w:r w:rsidRPr="0074218E">
        <w:rPr>
          <w:rFonts w:ascii="Times New Roman" w:hAnsi="Times New Roman" w:cs="Times New Roman"/>
          <w:sz w:val="24"/>
        </w:rPr>
        <w:t xml:space="preserve"> to the last. </w:t>
      </w:r>
      <w:r>
        <w:rPr>
          <w:rFonts w:ascii="Times New Roman" w:hAnsi="Times New Roman" w:cs="Times New Roman"/>
          <w:sz w:val="24"/>
        </w:rPr>
        <w:t>C</w:t>
      </w:r>
      <w:r w:rsidRPr="0074218E">
        <w:rPr>
          <w:rFonts w:ascii="Times New Roman" w:hAnsi="Times New Roman" w:cs="Times New Roman"/>
          <w:sz w:val="24"/>
        </w:rPr>
        <w:t xml:space="preserve">orrelations of </w:t>
      </w:r>
      <w:r>
        <w:rPr>
          <w:rFonts w:ascii="Times New Roman" w:hAnsi="Times New Roman" w:cs="Times New Roman"/>
          <w:sz w:val="24"/>
        </w:rPr>
        <w:t>these</w:t>
      </w:r>
      <w:r w:rsidRPr="0074218E">
        <w:rPr>
          <w:rFonts w:ascii="Times New Roman" w:hAnsi="Times New Roman" w:cs="Times New Roman"/>
          <w:sz w:val="24"/>
        </w:rPr>
        <w:t xml:space="preserve"> currencies with the dollar also increased, while their correlations</w:t>
      </w:r>
      <w:r>
        <w:rPr>
          <w:rFonts w:ascii="Times New Roman" w:hAnsi="Times New Roman" w:cs="Times New Roman"/>
          <w:sz w:val="24"/>
        </w:rPr>
        <w:t xml:space="preserve"> with the ruble</w:t>
      </w:r>
      <w:r w:rsidRPr="0074218E">
        <w:rPr>
          <w:rFonts w:ascii="Times New Roman" w:hAnsi="Times New Roman" w:cs="Times New Roman"/>
          <w:sz w:val="24"/>
        </w:rPr>
        <w:t xml:space="preserve">, except that of the somoni, decreased from the first </w:t>
      </w:r>
      <w:r>
        <w:rPr>
          <w:rFonts w:ascii="Times New Roman" w:hAnsi="Times New Roman" w:cs="Times New Roman"/>
          <w:sz w:val="24"/>
        </w:rPr>
        <w:t>period</w:t>
      </w:r>
      <w:r w:rsidRPr="0074218E">
        <w:rPr>
          <w:rFonts w:ascii="Times New Roman" w:hAnsi="Times New Roman" w:cs="Times New Roman"/>
          <w:sz w:val="24"/>
        </w:rPr>
        <w:t xml:space="preserve"> to the last.</w:t>
      </w:r>
    </w:p>
    <w:p w:rsidR="00744513" w:rsidRDefault="00744513" w:rsidP="00744513">
      <w:pPr>
        <w:ind w:hanging="315"/>
        <w:rPr>
          <w:rFonts w:ascii="Times New Roman" w:hAnsi="Times New Roman" w:cs="Times New Roman"/>
          <w:sz w:val="24"/>
        </w:rPr>
      </w:pPr>
    </w:p>
    <w:p w:rsidR="00744513" w:rsidRPr="0074218E" w:rsidRDefault="00744513" w:rsidP="00744513">
      <w:pPr>
        <w:ind w:hanging="315"/>
        <w:rPr>
          <w:rFonts w:ascii="Times New Roman" w:hAnsi="Times New Roman" w:cs="Times New Roman"/>
          <w:sz w:val="24"/>
        </w:rPr>
      </w:pPr>
    </w:p>
    <w:tbl>
      <w:tblPr>
        <w:tblW w:w="8933" w:type="dxa"/>
        <w:tblInd w:w="99" w:type="dxa"/>
        <w:tblCellMar>
          <w:left w:w="99" w:type="dxa"/>
          <w:right w:w="99" w:type="dxa"/>
        </w:tblCellMar>
        <w:tblLook w:val="0000" w:firstRow="0" w:lastRow="0" w:firstColumn="0" w:lastColumn="0" w:noHBand="0" w:noVBand="0"/>
      </w:tblPr>
      <w:tblGrid>
        <w:gridCol w:w="1575"/>
        <w:gridCol w:w="1260"/>
        <w:gridCol w:w="1260"/>
        <w:gridCol w:w="1260"/>
        <w:gridCol w:w="1260"/>
        <w:gridCol w:w="1163"/>
        <w:gridCol w:w="1155"/>
      </w:tblGrid>
      <w:tr w:rsidR="00744513" w:rsidRPr="0074218E" w:rsidTr="00733706">
        <w:trPr>
          <w:trHeight w:val="330"/>
        </w:trPr>
        <w:tc>
          <w:tcPr>
            <w:tcW w:w="1575"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jc w:val="center"/>
              <w:rPr>
                <w:rFonts w:ascii="Times New Roman" w:hAnsi="Times New Roman" w:cs="Times New Roman"/>
                <w:sz w:val="20"/>
                <w:szCs w:val="20"/>
              </w:rPr>
            </w:pPr>
            <w:r w:rsidRPr="0074218E">
              <w:rPr>
                <w:rFonts w:ascii="Times New Roman" w:cs="Times New Roman"/>
                <w:sz w:val="20"/>
                <w:szCs w:val="20"/>
              </w:rPr>
              <w:t xml:space="preserve">　</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 xml:space="preserve">Kazakhstan </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Uzbekistan</w:t>
            </w:r>
          </w:p>
        </w:tc>
        <w:tc>
          <w:tcPr>
            <w:tcW w:w="1163"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 xml:space="preserve">USA </w:t>
            </w:r>
          </w:p>
        </w:tc>
        <w:tc>
          <w:tcPr>
            <w:tcW w:w="1155" w:type="dxa"/>
            <w:tcBorders>
              <w:top w:val="single" w:sz="4" w:space="0" w:color="auto"/>
              <w:left w:val="nil"/>
              <w:bottom w:val="single" w:sz="4" w:space="0" w:color="auto"/>
              <w:right w:val="single" w:sz="4" w:space="0" w:color="auto"/>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Russia</w:t>
            </w:r>
          </w:p>
        </w:tc>
      </w:tr>
      <w:tr w:rsidR="00744513" w:rsidRPr="0074218E" w:rsidTr="00733706">
        <w:trPr>
          <w:trHeight w:val="330"/>
        </w:trPr>
        <w:tc>
          <w:tcPr>
            <w:tcW w:w="157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Kazakhstan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57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0.335</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57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0.423</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0.177</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57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Uzbekistan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0.240</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0.577</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0.312</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575"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 xml:space="preserve">USA </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0.727</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0.316</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0.283</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0.343</w:t>
            </w:r>
          </w:p>
        </w:tc>
        <w:tc>
          <w:tcPr>
            <w:tcW w:w="1163"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575" w:type="dxa"/>
            <w:tcBorders>
              <w:top w:val="nil"/>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Russia</w:t>
            </w:r>
            <w:r w:rsidRPr="0074218E" w:rsidDel="006E2CA8">
              <w:rPr>
                <w:rFonts w:ascii="Times New Roman" w:hAnsi="Times New Roman" w:cs="Times New Roman"/>
                <w:sz w:val="20"/>
                <w:szCs w:val="20"/>
              </w:rPr>
              <w:t xml:space="preserve"> </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0.721</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0.361</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0.233</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0.329</w:t>
            </w:r>
          </w:p>
        </w:tc>
        <w:tc>
          <w:tcPr>
            <w:tcW w:w="1163"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0.960</w:t>
            </w:r>
          </w:p>
        </w:tc>
        <w:tc>
          <w:tcPr>
            <w:tcW w:w="1155" w:type="dxa"/>
            <w:tcBorders>
              <w:top w:val="nil"/>
              <w:left w:val="nil"/>
              <w:bottom w:val="single" w:sz="4" w:space="0" w:color="auto"/>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r>
    </w:tbl>
    <w:p w:rsidR="00744513" w:rsidRPr="0074218E" w:rsidRDefault="00744513" w:rsidP="00744513">
      <w:pPr>
        <w:rPr>
          <w:rFonts w:ascii="Times New Roman" w:hAnsi="Times New Roman" w:cs="Times New Roman"/>
          <w:sz w:val="20"/>
          <w:szCs w:val="20"/>
        </w:rPr>
      </w:pPr>
      <w:r w:rsidRPr="0074218E">
        <w:rPr>
          <w:rFonts w:ascii="Times New Roman" w:hAnsi="Times New Roman" w:cs="Times New Roman"/>
          <w:sz w:val="20"/>
          <w:szCs w:val="20"/>
        </w:rPr>
        <w:t>Note: The base currency on which the statistics are based is the Swiss franc.</w:t>
      </w:r>
    </w:p>
    <w:p w:rsidR="00744513" w:rsidRPr="0074218E" w:rsidRDefault="00744513" w:rsidP="00744513">
      <w:pPr>
        <w:jc w:val="center"/>
        <w:rPr>
          <w:rFonts w:ascii="Times New Roman" w:cs="Times New Roman"/>
          <w:sz w:val="24"/>
        </w:rPr>
      </w:pPr>
      <w:r>
        <w:rPr>
          <w:rFonts w:ascii="Times New Roman" w:hAnsi="Times New Roman" w:cs="Times New Roman"/>
          <w:sz w:val="24"/>
        </w:rPr>
        <w:t>Table 4:</w:t>
      </w:r>
      <w:r w:rsidRPr="0074218E">
        <w:rPr>
          <w:rFonts w:ascii="Times New Roman" w:hAnsi="Times New Roman" w:cs="Times New Roman"/>
          <w:sz w:val="24"/>
        </w:rPr>
        <w:t xml:space="preserve"> </w:t>
      </w:r>
      <w:r>
        <w:rPr>
          <w:rFonts w:ascii="Times New Roman" w:hAnsi="Times New Roman" w:cs="Times New Roman"/>
          <w:sz w:val="24"/>
        </w:rPr>
        <w:t>C</w:t>
      </w:r>
      <w:r w:rsidRPr="0074218E">
        <w:rPr>
          <w:rFonts w:ascii="Times New Roman" w:hAnsi="Times New Roman" w:cs="Times New Roman"/>
          <w:sz w:val="24"/>
        </w:rPr>
        <w:t>orrelation matrix of monthly changes in nominal exchange rates (6/1995 – 12/1997)</w:t>
      </w:r>
    </w:p>
    <w:p w:rsidR="00744513" w:rsidRPr="0074218E" w:rsidRDefault="00744513" w:rsidP="00744513">
      <w:pPr>
        <w:rPr>
          <w:rFonts w:ascii="Times New Roman" w:hAnsi="Times New Roman" w:cs="Times New Roman"/>
          <w:sz w:val="20"/>
          <w:szCs w:val="20"/>
        </w:rPr>
      </w:pPr>
    </w:p>
    <w:tbl>
      <w:tblPr>
        <w:tblW w:w="8933" w:type="dxa"/>
        <w:tblInd w:w="99" w:type="dxa"/>
        <w:tblCellMar>
          <w:left w:w="99" w:type="dxa"/>
          <w:right w:w="99" w:type="dxa"/>
        </w:tblCellMar>
        <w:tblLook w:val="0000" w:firstRow="0" w:lastRow="0" w:firstColumn="0" w:lastColumn="0" w:noHBand="0" w:noVBand="0"/>
      </w:tblPr>
      <w:tblGrid>
        <w:gridCol w:w="1680"/>
        <w:gridCol w:w="1260"/>
        <w:gridCol w:w="1260"/>
        <w:gridCol w:w="1260"/>
        <w:gridCol w:w="1155"/>
        <w:gridCol w:w="1163"/>
        <w:gridCol w:w="1155"/>
      </w:tblGrid>
      <w:tr w:rsidR="00744513" w:rsidRPr="0074218E" w:rsidTr="00733706">
        <w:trPr>
          <w:trHeight w:val="330"/>
        </w:trPr>
        <w:tc>
          <w:tcPr>
            <w:tcW w:w="1680"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keepNext/>
              <w:keepLines/>
              <w:jc w:val="center"/>
              <w:rPr>
                <w:rFonts w:ascii="Times New Roman" w:hAnsi="Times New Roman" w:cs="Times New Roman"/>
                <w:sz w:val="20"/>
                <w:szCs w:val="20"/>
              </w:rPr>
            </w:pPr>
            <w:r w:rsidRPr="0074218E">
              <w:rPr>
                <w:rFonts w:ascii="Times New Roman" w:cs="Times New Roman"/>
                <w:sz w:val="20"/>
                <w:szCs w:val="20"/>
              </w:rPr>
              <w:t xml:space="preserve">　</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Kazakhstan</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Tajikistan</w:t>
            </w:r>
          </w:p>
        </w:tc>
        <w:tc>
          <w:tcPr>
            <w:tcW w:w="1155"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Uzbekistan</w:t>
            </w:r>
          </w:p>
        </w:tc>
        <w:tc>
          <w:tcPr>
            <w:tcW w:w="1163"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USA</w:t>
            </w:r>
          </w:p>
        </w:tc>
        <w:tc>
          <w:tcPr>
            <w:tcW w:w="1155" w:type="dxa"/>
            <w:tcBorders>
              <w:top w:val="single" w:sz="4" w:space="0" w:color="auto"/>
              <w:left w:val="nil"/>
              <w:bottom w:val="single" w:sz="4" w:space="0" w:color="auto"/>
              <w:right w:val="single" w:sz="4" w:space="0" w:color="auto"/>
            </w:tcBorders>
            <w:shd w:val="clear" w:color="auto" w:fill="auto"/>
            <w:vAlign w:val="center"/>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Russia</w:t>
            </w: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keepNext/>
              <w:keepLines/>
              <w:rPr>
                <w:rFonts w:ascii="Times New Roman" w:hAnsi="Times New Roman" w:cs="Times New Roman"/>
                <w:sz w:val="20"/>
                <w:szCs w:val="20"/>
              </w:rPr>
            </w:pPr>
            <w:r w:rsidRPr="0074218E">
              <w:rPr>
                <w:rFonts w:ascii="Times New Roman" w:hAnsi="Times New Roman" w:cs="Times New Roman"/>
                <w:sz w:val="20"/>
                <w:szCs w:val="20"/>
              </w:rPr>
              <w:t>Kazakhstan</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55"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keepNext/>
              <w:keepLines/>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0.412</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55"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keepNext/>
              <w:keepLines/>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0.613</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0.220</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55"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keepNext/>
              <w:keepLines/>
              <w:rPr>
                <w:rFonts w:ascii="Times New Roman" w:hAnsi="Times New Roman" w:cs="Times New Roman"/>
                <w:sz w:val="20"/>
                <w:szCs w:val="20"/>
              </w:rPr>
            </w:pPr>
            <w:r w:rsidRPr="0074218E">
              <w:rPr>
                <w:rFonts w:ascii="Times New Roman" w:hAnsi="Times New Roman" w:cs="Times New Roman"/>
                <w:sz w:val="20"/>
                <w:szCs w:val="20"/>
              </w:rPr>
              <w:t>Uzbekistan</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0.182</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0.334</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0.245</w:t>
            </w:r>
          </w:p>
        </w:tc>
        <w:tc>
          <w:tcPr>
            <w:tcW w:w="1155"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63" w:type="dxa"/>
            <w:tcBorders>
              <w:top w:val="nil"/>
              <w:left w:val="nil"/>
              <w:bottom w:val="nil"/>
              <w:right w:val="nil"/>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keepNext/>
              <w:keepLines/>
              <w:rPr>
                <w:rFonts w:ascii="Times New Roman" w:hAnsi="Times New Roman" w:cs="Times New Roman"/>
                <w:sz w:val="20"/>
                <w:szCs w:val="20"/>
              </w:rPr>
            </w:pPr>
            <w:r w:rsidRPr="0074218E">
              <w:rPr>
                <w:rFonts w:ascii="Times New Roman" w:hAnsi="Times New Roman" w:cs="Times New Roman"/>
                <w:sz w:val="20"/>
                <w:szCs w:val="20"/>
              </w:rPr>
              <w:t xml:space="preserve">USA </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0.887</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0.507</w:t>
            </w:r>
          </w:p>
        </w:tc>
        <w:tc>
          <w:tcPr>
            <w:tcW w:w="1260"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0.621</w:t>
            </w:r>
          </w:p>
        </w:tc>
        <w:tc>
          <w:tcPr>
            <w:tcW w:w="1155"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0.192</w:t>
            </w:r>
          </w:p>
        </w:tc>
        <w:tc>
          <w:tcPr>
            <w:tcW w:w="1163" w:type="dxa"/>
            <w:tcBorders>
              <w:top w:val="nil"/>
              <w:left w:val="nil"/>
              <w:bottom w:val="nil"/>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keepNext/>
              <w:keepLines/>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single" w:sz="4" w:space="0" w:color="auto"/>
              <w:right w:val="nil"/>
            </w:tcBorders>
            <w:shd w:val="clear" w:color="auto" w:fill="auto"/>
            <w:noWrap/>
            <w:vAlign w:val="center"/>
          </w:tcPr>
          <w:p w:rsidR="00744513" w:rsidRPr="0074218E" w:rsidRDefault="00744513" w:rsidP="00733706">
            <w:pPr>
              <w:keepNext/>
              <w:keepLines/>
              <w:rPr>
                <w:rFonts w:ascii="Times New Roman" w:hAnsi="Times New Roman" w:cs="Times New Roman"/>
                <w:sz w:val="20"/>
                <w:szCs w:val="20"/>
              </w:rPr>
            </w:pPr>
            <w:r w:rsidRPr="0074218E">
              <w:rPr>
                <w:rFonts w:ascii="Times New Roman" w:hAnsi="Times New Roman" w:cs="Times New Roman"/>
                <w:sz w:val="20"/>
                <w:szCs w:val="20"/>
              </w:rPr>
              <w:t>Russia</w:t>
            </w:r>
            <w:r w:rsidRPr="0074218E" w:rsidDel="006E2CA8">
              <w:rPr>
                <w:rFonts w:ascii="Times New Roman" w:hAnsi="Times New Roman" w:cs="Times New Roman"/>
                <w:sz w:val="20"/>
                <w:szCs w:val="20"/>
              </w:rPr>
              <w:t xml:space="preserve"> </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0.750</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0.612</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0.577</w:t>
            </w:r>
          </w:p>
        </w:tc>
        <w:tc>
          <w:tcPr>
            <w:tcW w:w="1155" w:type="dxa"/>
            <w:tcBorders>
              <w:top w:val="nil"/>
              <w:left w:val="nil"/>
              <w:bottom w:val="single" w:sz="4" w:space="0" w:color="auto"/>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0.213</w:t>
            </w:r>
          </w:p>
        </w:tc>
        <w:tc>
          <w:tcPr>
            <w:tcW w:w="1163" w:type="dxa"/>
            <w:tcBorders>
              <w:top w:val="nil"/>
              <w:left w:val="nil"/>
              <w:bottom w:val="single" w:sz="4" w:space="0" w:color="auto"/>
              <w:right w:val="nil"/>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0.789</w:t>
            </w:r>
          </w:p>
        </w:tc>
        <w:tc>
          <w:tcPr>
            <w:tcW w:w="1155" w:type="dxa"/>
            <w:tcBorders>
              <w:top w:val="nil"/>
              <w:left w:val="nil"/>
              <w:bottom w:val="single" w:sz="4" w:space="0" w:color="auto"/>
              <w:right w:val="single" w:sz="4" w:space="0" w:color="auto"/>
            </w:tcBorders>
            <w:shd w:val="clear" w:color="auto" w:fill="auto"/>
            <w:noWrap/>
            <w:vAlign w:val="bottom"/>
          </w:tcPr>
          <w:p w:rsidR="00744513" w:rsidRPr="0074218E" w:rsidRDefault="00744513" w:rsidP="00733706">
            <w:pPr>
              <w:keepNext/>
              <w:keepLines/>
              <w:jc w:val="right"/>
              <w:rPr>
                <w:rFonts w:ascii="Times New Roman" w:hAnsi="Times New Roman" w:cs="Times New Roman"/>
                <w:sz w:val="20"/>
                <w:szCs w:val="20"/>
              </w:rPr>
            </w:pPr>
            <w:r w:rsidRPr="0074218E">
              <w:rPr>
                <w:rFonts w:ascii="Times New Roman" w:hAnsi="Times New Roman" w:cs="Times New Roman"/>
                <w:sz w:val="20"/>
                <w:szCs w:val="20"/>
              </w:rPr>
              <w:t>1.000</w:t>
            </w:r>
          </w:p>
        </w:tc>
      </w:tr>
    </w:tbl>
    <w:p w:rsidR="00744513" w:rsidRPr="0074218E" w:rsidRDefault="00744513" w:rsidP="00744513">
      <w:pPr>
        <w:rPr>
          <w:rFonts w:ascii="Times New Roman" w:hAnsi="Times New Roman" w:cs="Times New Roman"/>
          <w:sz w:val="20"/>
          <w:szCs w:val="20"/>
        </w:rPr>
      </w:pPr>
      <w:r w:rsidRPr="0074218E">
        <w:rPr>
          <w:rFonts w:ascii="Times New Roman" w:hAnsi="Times New Roman" w:cs="Times New Roman"/>
          <w:sz w:val="20"/>
          <w:szCs w:val="20"/>
        </w:rPr>
        <w:t>Note: The base currency on which the statistics are based is the Swiss franc.</w:t>
      </w:r>
    </w:p>
    <w:p w:rsidR="00744513" w:rsidRPr="0074218E" w:rsidRDefault="00744513" w:rsidP="00744513">
      <w:pPr>
        <w:jc w:val="center"/>
        <w:rPr>
          <w:rFonts w:ascii="Times New Roman" w:cs="Times New Roman"/>
          <w:sz w:val="24"/>
        </w:rPr>
      </w:pPr>
      <w:r>
        <w:rPr>
          <w:rFonts w:ascii="Times New Roman" w:hAnsi="Times New Roman" w:cs="Times New Roman"/>
          <w:sz w:val="24"/>
        </w:rPr>
        <w:t>Table 5:</w:t>
      </w:r>
      <w:r w:rsidRPr="0074218E">
        <w:rPr>
          <w:rFonts w:ascii="Times New Roman" w:hAnsi="Times New Roman" w:cs="Times New Roman"/>
          <w:sz w:val="24"/>
        </w:rPr>
        <w:t xml:space="preserve"> </w:t>
      </w:r>
      <w:r>
        <w:rPr>
          <w:rFonts w:ascii="Times New Roman" w:hAnsi="Times New Roman" w:cs="Times New Roman"/>
          <w:sz w:val="24"/>
        </w:rPr>
        <w:t>C</w:t>
      </w:r>
      <w:r w:rsidRPr="0074218E">
        <w:rPr>
          <w:rFonts w:ascii="Times New Roman" w:hAnsi="Times New Roman" w:cs="Times New Roman"/>
          <w:sz w:val="24"/>
        </w:rPr>
        <w:t>orrelation matrix of monthly changes in nominal exchange rates (1/2000 – 6/2008).</w:t>
      </w:r>
    </w:p>
    <w:p w:rsidR="00744513" w:rsidRPr="0074218E" w:rsidRDefault="00744513" w:rsidP="00744513">
      <w:pPr>
        <w:ind w:leftChars="-150" w:left="-143" w:hangingChars="78" w:hanging="187"/>
        <w:rPr>
          <w:rFonts w:ascii="Times New Roman" w:hAnsi="Times New Roman" w:cs="Times New Roman"/>
          <w:sz w:val="24"/>
        </w:rPr>
      </w:pPr>
    </w:p>
    <w:tbl>
      <w:tblPr>
        <w:tblW w:w="8933" w:type="dxa"/>
        <w:tblInd w:w="99" w:type="dxa"/>
        <w:tblCellMar>
          <w:left w:w="99" w:type="dxa"/>
          <w:right w:w="99" w:type="dxa"/>
        </w:tblCellMar>
        <w:tblLook w:val="0000" w:firstRow="0" w:lastRow="0" w:firstColumn="0" w:lastColumn="0" w:noHBand="0" w:noVBand="0"/>
      </w:tblPr>
      <w:tblGrid>
        <w:gridCol w:w="1680"/>
        <w:gridCol w:w="1260"/>
        <w:gridCol w:w="1260"/>
        <w:gridCol w:w="1260"/>
        <w:gridCol w:w="1155"/>
        <w:gridCol w:w="1163"/>
        <w:gridCol w:w="1155"/>
      </w:tblGrid>
      <w:tr w:rsidR="00744513" w:rsidRPr="0074218E" w:rsidTr="00733706">
        <w:trPr>
          <w:trHeight w:val="330"/>
        </w:trPr>
        <w:tc>
          <w:tcPr>
            <w:tcW w:w="1680"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jc w:val="center"/>
              <w:rPr>
                <w:rFonts w:ascii="Times New Roman" w:hAnsi="Times New Roman" w:cs="Times New Roman"/>
                <w:sz w:val="20"/>
                <w:szCs w:val="20"/>
              </w:rPr>
            </w:pPr>
            <w:r w:rsidRPr="0074218E">
              <w:rPr>
                <w:rFonts w:ascii="Times New Roman" w:cs="Times New Roman"/>
                <w:sz w:val="20"/>
                <w:szCs w:val="20"/>
              </w:rPr>
              <w:t xml:space="preserve">　</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Kazakhstan</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60"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Tajikistan</w:t>
            </w:r>
          </w:p>
        </w:tc>
        <w:tc>
          <w:tcPr>
            <w:tcW w:w="1155"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Uzbekistan</w:t>
            </w:r>
          </w:p>
        </w:tc>
        <w:tc>
          <w:tcPr>
            <w:tcW w:w="1163" w:type="dxa"/>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 xml:space="preserve">USA </w:t>
            </w:r>
          </w:p>
        </w:tc>
        <w:tc>
          <w:tcPr>
            <w:tcW w:w="1155" w:type="dxa"/>
            <w:tcBorders>
              <w:top w:val="single" w:sz="4" w:space="0" w:color="auto"/>
              <w:left w:val="nil"/>
              <w:bottom w:val="single" w:sz="4" w:space="0" w:color="auto"/>
              <w:right w:val="single" w:sz="4" w:space="0" w:color="auto"/>
            </w:tcBorders>
            <w:shd w:val="clear" w:color="auto" w:fill="auto"/>
            <w:vAlign w:val="center"/>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Russia</w:t>
            </w: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Kazakhstan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Kyrgyzstan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0.631</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260"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Tajikistan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0.553</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0.776</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55"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Uzbekistan</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0.675</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0.845</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0.847</w:t>
            </w:r>
          </w:p>
        </w:tc>
        <w:tc>
          <w:tcPr>
            <w:tcW w:w="115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63" w:type="dxa"/>
            <w:tcBorders>
              <w:top w:val="nil"/>
              <w:left w:val="nil"/>
              <w:bottom w:val="nil"/>
              <w:right w:val="nil"/>
            </w:tcBorders>
            <w:shd w:val="clear" w:color="auto" w:fill="auto"/>
            <w:noWrap/>
            <w:vAlign w:val="bottom"/>
          </w:tcPr>
          <w:p w:rsidR="00744513" w:rsidRPr="0074218E" w:rsidRDefault="00744513" w:rsidP="00733706">
            <w:pPr>
              <w:rPr>
                <w:rFonts w:ascii="Times New Roman" w:hAnsi="Times New Roman" w:cs="Times New Roman"/>
                <w:sz w:val="20"/>
                <w:szCs w:val="20"/>
              </w:rPr>
            </w:pP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 xml:space="preserve">USA </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0.869</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0.680</w:t>
            </w:r>
          </w:p>
        </w:tc>
        <w:tc>
          <w:tcPr>
            <w:tcW w:w="1260"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0.656</w:t>
            </w:r>
          </w:p>
        </w:tc>
        <w:tc>
          <w:tcPr>
            <w:tcW w:w="1155"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0.786</w:t>
            </w:r>
          </w:p>
        </w:tc>
        <w:tc>
          <w:tcPr>
            <w:tcW w:w="1163" w:type="dxa"/>
            <w:tcBorders>
              <w:top w:val="nil"/>
              <w:left w:val="nil"/>
              <w:bottom w:val="nil"/>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c>
          <w:tcPr>
            <w:tcW w:w="1155" w:type="dxa"/>
            <w:tcBorders>
              <w:top w:val="nil"/>
              <w:left w:val="nil"/>
              <w:bottom w:val="nil"/>
              <w:right w:val="single" w:sz="4" w:space="0" w:color="auto"/>
            </w:tcBorders>
            <w:shd w:val="clear" w:color="auto" w:fill="auto"/>
            <w:noWrap/>
            <w:vAlign w:val="bottom"/>
          </w:tcPr>
          <w:p w:rsidR="00744513" w:rsidRPr="0074218E" w:rsidRDefault="00744513" w:rsidP="00733706">
            <w:pPr>
              <w:rPr>
                <w:rFonts w:ascii="Times New Roman" w:hAnsi="Times New Roman" w:cs="Times New Roman"/>
                <w:sz w:val="20"/>
                <w:szCs w:val="20"/>
              </w:rPr>
            </w:pPr>
          </w:p>
        </w:tc>
      </w:tr>
      <w:tr w:rsidR="00744513" w:rsidRPr="0074218E" w:rsidTr="00733706">
        <w:trPr>
          <w:trHeight w:val="330"/>
        </w:trPr>
        <w:tc>
          <w:tcPr>
            <w:tcW w:w="1680" w:type="dxa"/>
            <w:tcBorders>
              <w:top w:val="nil"/>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20"/>
                <w:szCs w:val="20"/>
              </w:rPr>
            </w:pPr>
            <w:r w:rsidRPr="0074218E">
              <w:rPr>
                <w:rFonts w:ascii="Times New Roman" w:hAnsi="Times New Roman" w:cs="Times New Roman"/>
                <w:sz w:val="20"/>
                <w:szCs w:val="20"/>
              </w:rPr>
              <w:t>Russia</w:t>
            </w:r>
            <w:r w:rsidRPr="0074218E" w:rsidDel="006E2CA8">
              <w:rPr>
                <w:rFonts w:ascii="Times New Roman" w:hAnsi="Times New Roman" w:cs="Times New Roman"/>
                <w:sz w:val="20"/>
                <w:szCs w:val="20"/>
              </w:rPr>
              <w:t xml:space="preserve"> </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0.152</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0.213</w:t>
            </w:r>
          </w:p>
        </w:tc>
        <w:tc>
          <w:tcPr>
            <w:tcW w:w="1260"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0.260</w:t>
            </w:r>
          </w:p>
        </w:tc>
        <w:tc>
          <w:tcPr>
            <w:tcW w:w="1155"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0.099</w:t>
            </w:r>
          </w:p>
        </w:tc>
        <w:tc>
          <w:tcPr>
            <w:tcW w:w="1163" w:type="dxa"/>
            <w:tcBorders>
              <w:top w:val="nil"/>
              <w:left w:val="nil"/>
              <w:bottom w:val="single" w:sz="4" w:space="0" w:color="auto"/>
              <w:right w:val="nil"/>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0.073</w:t>
            </w:r>
          </w:p>
        </w:tc>
        <w:tc>
          <w:tcPr>
            <w:tcW w:w="1155" w:type="dxa"/>
            <w:tcBorders>
              <w:top w:val="nil"/>
              <w:left w:val="nil"/>
              <w:bottom w:val="single" w:sz="4" w:space="0" w:color="auto"/>
              <w:right w:val="single" w:sz="4" w:space="0" w:color="auto"/>
            </w:tcBorders>
            <w:shd w:val="clear" w:color="auto" w:fill="auto"/>
            <w:noWrap/>
            <w:vAlign w:val="bottom"/>
          </w:tcPr>
          <w:p w:rsidR="00744513" w:rsidRPr="0074218E" w:rsidRDefault="00744513" w:rsidP="00733706">
            <w:pPr>
              <w:jc w:val="right"/>
              <w:rPr>
                <w:rFonts w:ascii="Times New Roman" w:hAnsi="Times New Roman" w:cs="Times New Roman"/>
                <w:sz w:val="20"/>
                <w:szCs w:val="20"/>
              </w:rPr>
            </w:pPr>
            <w:r w:rsidRPr="0074218E">
              <w:rPr>
                <w:rFonts w:ascii="Times New Roman" w:hAnsi="Times New Roman" w:cs="Times New Roman"/>
                <w:sz w:val="20"/>
                <w:szCs w:val="20"/>
              </w:rPr>
              <w:t>1.000</w:t>
            </w:r>
          </w:p>
        </w:tc>
      </w:tr>
    </w:tbl>
    <w:p w:rsidR="00744513" w:rsidRPr="0074218E" w:rsidRDefault="00744513" w:rsidP="00744513">
      <w:pPr>
        <w:ind w:firstLineChars="9" w:firstLine="18"/>
        <w:rPr>
          <w:rFonts w:ascii="Times New Roman" w:hAnsi="Times New Roman" w:cs="Times New Roman"/>
          <w:sz w:val="20"/>
          <w:szCs w:val="20"/>
        </w:rPr>
      </w:pPr>
      <w:r w:rsidRPr="0074218E">
        <w:rPr>
          <w:rFonts w:ascii="Times New Roman" w:hAnsi="Times New Roman" w:cs="Times New Roman"/>
          <w:sz w:val="20"/>
          <w:szCs w:val="20"/>
        </w:rPr>
        <w:t>Note: The base currency on which the statistics are based is the Swiss franc.</w:t>
      </w:r>
    </w:p>
    <w:p w:rsidR="00744513" w:rsidRPr="0074218E" w:rsidRDefault="00744513" w:rsidP="00744513">
      <w:pPr>
        <w:jc w:val="center"/>
        <w:rPr>
          <w:rFonts w:ascii="Times New Roman" w:hAnsi="Times New Roman" w:cs="Times New Roman"/>
          <w:b/>
          <w:sz w:val="28"/>
          <w:szCs w:val="28"/>
        </w:rPr>
      </w:pPr>
      <w:r>
        <w:rPr>
          <w:rFonts w:ascii="Times New Roman" w:hAnsi="Times New Roman" w:cs="Times New Roman"/>
          <w:sz w:val="24"/>
        </w:rPr>
        <w:t>Table 6:</w:t>
      </w:r>
      <w:r w:rsidRPr="0074218E">
        <w:rPr>
          <w:rFonts w:ascii="Times New Roman" w:hAnsi="Times New Roman" w:cs="Times New Roman"/>
          <w:sz w:val="24"/>
        </w:rPr>
        <w:t xml:space="preserve"> </w:t>
      </w:r>
      <w:r>
        <w:rPr>
          <w:rFonts w:ascii="Times New Roman" w:hAnsi="Times New Roman" w:cs="Times New Roman"/>
          <w:sz w:val="24"/>
        </w:rPr>
        <w:t>C</w:t>
      </w:r>
      <w:r w:rsidRPr="0074218E">
        <w:rPr>
          <w:rFonts w:ascii="Times New Roman" w:hAnsi="Times New Roman" w:cs="Times New Roman"/>
          <w:sz w:val="24"/>
        </w:rPr>
        <w:t>orrelation matrix of monthly changes in nominal exchange rates (6/2009 – 12/2014).</w:t>
      </w:r>
    </w:p>
    <w:p w:rsidR="00744513" w:rsidRDefault="00744513" w:rsidP="00744513">
      <w:pPr>
        <w:widowControl/>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744513" w:rsidRPr="0074218E" w:rsidRDefault="00744513" w:rsidP="00744513">
      <w:pPr>
        <w:rPr>
          <w:rFonts w:ascii="Times New Roman" w:hAnsi="Times New Roman" w:cs="Times New Roman"/>
          <w:b/>
          <w:sz w:val="28"/>
          <w:szCs w:val="28"/>
        </w:rPr>
      </w:pPr>
    </w:p>
    <w:p w:rsidR="00744513" w:rsidRPr="0074218E" w:rsidRDefault="00744513" w:rsidP="00744513">
      <w:pPr>
        <w:rPr>
          <w:rFonts w:ascii="Times New Roman" w:hAnsi="Times New Roman" w:cs="Times New Roman"/>
          <w:b/>
          <w:sz w:val="28"/>
          <w:szCs w:val="28"/>
        </w:rPr>
      </w:pPr>
      <w:r w:rsidRPr="0074218E">
        <w:rPr>
          <w:rFonts w:ascii="Times New Roman" w:hAnsi="Times New Roman" w:cs="Times New Roman"/>
          <w:b/>
          <w:sz w:val="28"/>
          <w:szCs w:val="28"/>
        </w:rPr>
        <w:t xml:space="preserve">3. Measuring the </w:t>
      </w:r>
      <w:r>
        <w:rPr>
          <w:rFonts w:ascii="Times New Roman" w:hAnsi="Times New Roman" w:cs="Times New Roman"/>
          <w:b/>
          <w:sz w:val="28"/>
          <w:szCs w:val="28"/>
        </w:rPr>
        <w:t>d</w:t>
      </w:r>
      <w:r w:rsidRPr="0074218E">
        <w:rPr>
          <w:rFonts w:ascii="Times New Roman" w:hAnsi="Times New Roman" w:cs="Times New Roman"/>
          <w:b/>
          <w:sz w:val="28"/>
          <w:szCs w:val="28"/>
        </w:rPr>
        <w:t xml:space="preserve">egree of </w:t>
      </w:r>
      <w:r>
        <w:rPr>
          <w:rFonts w:ascii="Times New Roman" w:hAnsi="Times New Roman" w:cs="Times New Roman"/>
          <w:b/>
          <w:sz w:val="28"/>
          <w:szCs w:val="28"/>
        </w:rPr>
        <w:t>i</w:t>
      </w:r>
      <w:r w:rsidRPr="0074218E">
        <w:rPr>
          <w:rFonts w:ascii="Times New Roman" w:hAnsi="Times New Roman" w:cs="Times New Roman"/>
          <w:b/>
          <w:sz w:val="28"/>
          <w:szCs w:val="28"/>
        </w:rPr>
        <w:t>nfluence</w:t>
      </w:r>
    </w:p>
    <w:p w:rsidR="00744513" w:rsidRPr="0074218E" w:rsidRDefault="00744513" w:rsidP="00744513">
      <w:pPr>
        <w:rPr>
          <w:rFonts w:ascii="Times New Roman" w:hAnsi="Times New Roman" w:cs="Times New Roman"/>
          <w:b/>
          <w:bCs/>
          <w:sz w:val="24"/>
        </w:rPr>
      </w:pPr>
    </w:p>
    <w:p w:rsidR="00744513" w:rsidRPr="0074218E" w:rsidRDefault="00744513" w:rsidP="00744513">
      <w:pPr>
        <w:rPr>
          <w:rFonts w:ascii="Times New Roman" w:hAnsi="Times New Roman" w:cs="Times New Roman"/>
          <w:b/>
          <w:bCs/>
          <w:sz w:val="24"/>
        </w:rPr>
      </w:pPr>
      <w:r w:rsidRPr="0074218E">
        <w:rPr>
          <w:rFonts w:ascii="Times New Roman" w:hAnsi="Times New Roman" w:cs="Times New Roman"/>
          <w:b/>
          <w:bCs/>
          <w:sz w:val="24"/>
        </w:rPr>
        <w:t xml:space="preserve">3. 1 </w:t>
      </w:r>
      <w:r>
        <w:rPr>
          <w:rFonts w:ascii="Times New Roman" w:hAnsi="Times New Roman" w:cs="Times New Roman"/>
          <w:b/>
          <w:bCs/>
          <w:sz w:val="24"/>
        </w:rPr>
        <w:t>Model s</w:t>
      </w:r>
      <w:r w:rsidRPr="0074218E">
        <w:rPr>
          <w:rFonts w:ascii="Times New Roman" w:hAnsi="Times New Roman" w:cs="Times New Roman"/>
          <w:b/>
          <w:bCs/>
          <w:sz w:val="24"/>
        </w:rPr>
        <w:t>pecification</w:t>
      </w:r>
    </w:p>
    <w:p w:rsidR="00744513" w:rsidRPr="0074218E" w:rsidRDefault="00744513" w:rsidP="00744513">
      <w:pPr>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The theory of optimum currency areas suggests a plausible solution to balance of payment crises -- a system of national currencies with flexible exchange rates.</w:t>
      </w:r>
      <w:r w:rsidRPr="0074218E">
        <w:rPr>
          <w:rStyle w:val="ab"/>
          <w:rFonts w:ascii="Times New Roman" w:hAnsi="Times New Roman" w:cs="Times New Roman"/>
          <w:sz w:val="24"/>
        </w:rPr>
        <w:footnoteReference w:id="8"/>
      </w:r>
      <w:r w:rsidRPr="0074218E">
        <w:rPr>
          <w:rFonts w:ascii="Times New Roman" w:hAnsi="Times New Roman" w:cs="Times New Roman"/>
          <w:sz w:val="24"/>
        </w:rPr>
        <w:t xml:space="preserve"> Neighboring countries can stabilize their exchange rates by choosing a major currency as a nominal anchor. In Central Asia, the anchor might be the dollar, the euro, the yen or the ruble.</w:t>
      </w:r>
      <w:r w:rsidRPr="0074218E">
        <w:rPr>
          <w:rStyle w:val="ab"/>
          <w:rFonts w:ascii="Times New Roman" w:hAnsi="Times New Roman" w:cs="Times New Roman"/>
          <w:sz w:val="24"/>
        </w:rPr>
        <w:footnoteReference w:id="9"/>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In analyzing the role of major currencies in determining exchange rates, most empirical analyses use </w:t>
      </w:r>
      <w:r>
        <w:rPr>
          <w:rFonts w:ascii="Times New Roman" w:hAnsi="Times New Roman" w:cs="Times New Roman"/>
          <w:sz w:val="24"/>
        </w:rPr>
        <w:t>the</w:t>
      </w:r>
      <w:r w:rsidRPr="0074218E">
        <w:rPr>
          <w:rFonts w:ascii="Times New Roman" w:hAnsi="Times New Roman" w:cs="Times New Roman"/>
          <w:sz w:val="24"/>
        </w:rPr>
        <w:t xml:space="preserve"> Frankel and Wei (1994) methodology. Frankel and Wei </w:t>
      </w:r>
      <w:r>
        <w:rPr>
          <w:rFonts w:ascii="Times New Roman" w:hAnsi="Times New Roman" w:cs="Times New Roman"/>
          <w:sz w:val="24"/>
        </w:rPr>
        <w:t>examine</w:t>
      </w:r>
      <w:r w:rsidRPr="0074218E">
        <w:rPr>
          <w:rFonts w:ascii="Times New Roman" w:hAnsi="Times New Roman" w:cs="Times New Roman"/>
          <w:sz w:val="24"/>
        </w:rPr>
        <w:t xml:space="preserve"> exchange rate policies of nine East Asian countries </w:t>
      </w:r>
      <w:r>
        <w:rPr>
          <w:rFonts w:ascii="Times New Roman" w:hAnsi="Times New Roman" w:cs="Times New Roman"/>
          <w:sz w:val="24"/>
        </w:rPr>
        <w:t>by</w:t>
      </w:r>
      <w:r w:rsidRPr="0074218E">
        <w:rPr>
          <w:rFonts w:ascii="Times New Roman" w:hAnsi="Times New Roman" w:cs="Times New Roman"/>
          <w:sz w:val="24"/>
        </w:rPr>
        <w:t xml:space="preserve"> estimating the weight of the yen or the degree of pegging to the yen over the sample period from 1979 to 1992. They hypothesize that </w:t>
      </w:r>
      <w:r>
        <w:rPr>
          <w:rFonts w:ascii="Times New Roman" w:hAnsi="Times New Roman" w:cs="Times New Roman"/>
          <w:sz w:val="24"/>
        </w:rPr>
        <w:t>central banks in the region we</w:t>
      </w:r>
      <w:r w:rsidRPr="0074218E">
        <w:rPr>
          <w:rFonts w:ascii="Times New Roman" w:hAnsi="Times New Roman" w:cs="Times New Roman"/>
          <w:sz w:val="24"/>
        </w:rPr>
        <w:t xml:space="preserve">re trying harder than before to stabilize exchange rates vis-à-vis the yen. As a test, the authors use OLS to determine implicit weights of major currencies in the currency basket. They regress national currencies on major currencies expressed in terms of the numeraire, the Swiss franc. OLS coefficients imply the weights of </w:t>
      </w:r>
      <w:r>
        <w:rPr>
          <w:rFonts w:ascii="Times New Roman" w:hAnsi="Times New Roman" w:cs="Times New Roman"/>
          <w:sz w:val="24"/>
        </w:rPr>
        <w:t xml:space="preserve">basket </w:t>
      </w:r>
      <w:r w:rsidRPr="0074218E">
        <w:rPr>
          <w:rFonts w:ascii="Times New Roman" w:hAnsi="Times New Roman" w:cs="Times New Roman"/>
          <w:sz w:val="24"/>
        </w:rPr>
        <w:t>currencies. Of course, their signs are predicted to be positive.</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Several papers </w:t>
      </w:r>
      <w:r>
        <w:rPr>
          <w:rFonts w:ascii="Times New Roman" w:hAnsi="Times New Roman" w:cs="Times New Roman"/>
          <w:sz w:val="24"/>
        </w:rPr>
        <w:t>similarly</w:t>
      </w:r>
      <w:r w:rsidRPr="0074218E">
        <w:rPr>
          <w:rFonts w:ascii="Times New Roman" w:hAnsi="Times New Roman" w:cs="Times New Roman"/>
          <w:sz w:val="24"/>
        </w:rPr>
        <w:t xml:space="preserve"> analyze exchange rate policies, including </w:t>
      </w:r>
      <w:proofErr w:type="spellStart"/>
      <w:r w:rsidRPr="0074218E">
        <w:rPr>
          <w:rFonts w:ascii="Times New Roman" w:hAnsi="Times New Roman" w:cs="Times New Roman"/>
          <w:sz w:val="24"/>
        </w:rPr>
        <w:t>Bayoumi</w:t>
      </w:r>
      <w:proofErr w:type="spellEnd"/>
      <w:r w:rsidRPr="0074218E">
        <w:rPr>
          <w:rFonts w:ascii="Times New Roman" w:hAnsi="Times New Roman" w:cs="Times New Roman"/>
          <w:sz w:val="24"/>
        </w:rPr>
        <w:t xml:space="preserve"> and </w:t>
      </w:r>
      <w:proofErr w:type="spellStart"/>
      <w:r w:rsidRPr="0074218E">
        <w:rPr>
          <w:rFonts w:ascii="Times New Roman" w:hAnsi="Times New Roman" w:cs="Times New Roman"/>
          <w:sz w:val="24"/>
        </w:rPr>
        <w:t>Eichengreen</w:t>
      </w:r>
      <w:proofErr w:type="spellEnd"/>
      <w:r w:rsidRPr="0074218E">
        <w:rPr>
          <w:rFonts w:ascii="Times New Roman" w:hAnsi="Times New Roman" w:cs="Times New Roman"/>
          <w:sz w:val="24"/>
        </w:rPr>
        <w:t xml:space="preserve"> (1998), Calvo and Reinhart (200</w:t>
      </w:r>
      <w:r>
        <w:rPr>
          <w:rFonts w:ascii="Times New Roman" w:hAnsi="Times New Roman" w:cs="Times New Roman"/>
          <w:sz w:val="24"/>
        </w:rPr>
        <w:t>2</w:t>
      </w:r>
      <w:r w:rsidRPr="0074218E">
        <w:rPr>
          <w:rFonts w:ascii="Times New Roman" w:hAnsi="Times New Roman" w:cs="Times New Roman"/>
          <w:sz w:val="24"/>
        </w:rPr>
        <w:t>),</w:t>
      </w:r>
      <w:r>
        <w:rPr>
          <w:rFonts w:ascii="Times New Roman" w:hAnsi="Times New Roman" w:cs="Times New Roman"/>
          <w:sz w:val="24"/>
        </w:rPr>
        <w:t xml:space="preserve"> and Reinhart</w:t>
      </w:r>
      <w:r w:rsidRPr="0074218E">
        <w:rPr>
          <w:rFonts w:ascii="Times New Roman" w:hAnsi="Times New Roman" w:cs="Times New Roman"/>
          <w:sz w:val="24"/>
        </w:rPr>
        <w:t xml:space="preserve"> and Rogoff (2004). But when they assume that local currencies follow a basket of the world’s major currencies, most authors use the Fr</w:t>
      </w:r>
      <w:r>
        <w:rPr>
          <w:rFonts w:ascii="Times New Roman" w:hAnsi="Times New Roman" w:cs="Times New Roman"/>
          <w:sz w:val="24"/>
        </w:rPr>
        <w:t>ankel and Wei (1994) approach</w:t>
      </w:r>
      <w:r w:rsidRPr="0074218E">
        <w:rPr>
          <w:rFonts w:ascii="Times New Roman" w:hAnsi="Times New Roman" w:cs="Times New Roman"/>
          <w:sz w:val="24"/>
        </w:rPr>
        <w:t>, including McKinnon (200</w:t>
      </w:r>
      <w:r>
        <w:rPr>
          <w:rFonts w:ascii="Times New Roman" w:hAnsi="Times New Roman" w:cs="Times New Roman"/>
          <w:sz w:val="24"/>
        </w:rPr>
        <w:t>1</w:t>
      </w:r>
      <w:r w:rsidRPr="0074218E">
        <w:rPr>
          <w:rFonts w:ascii="Times New Roman" w:hAnsi="Times New Roman" w:cs="Times New Roman"/>
          <w:sz w:val="24"/>
        </w:rPr>
        <w:t xml:space="preserve">), </w:t>
      </w:r>
      <w:proofErr w:type="spellStart"/>
      <w:r w:rsidRPr="0074218E">
        <w:rPr>
          <w:rFonts w:ascii="Times New Roman" w:hAnsi="Times New Roman" w:cs="Times New Roman"/>
          <w:sz w:val="24"/>
        </w:rPr>
        <w:t>Baig</w:t>
      </w:r>
      <w:proofErr w:type="spellEnd"/>
      <w:r w:rsidRPr="0074218E">
        <w:rPr>
          <w:rFonts w:ascii="Times New Roman" w:hAnsi="Times New Roman" w:cs="Times New Roman"/>
          <w:sz w:val="24"/>
        </w:rPr>
        <w:t xml:space="preserve"> (2001), and Ogawa and Yang (200</w:t>
      </w:r>
      <w:r>
        <w:rPr>
          <w:rFonts w:ascii="Times New Roman" w:hAnsi="Times New Roman" w:cs="Times New Roman"/>
          <w:sz w:val="24"/>
        </w:rPr>
        <w:t>8</w:t>
      </w:r>
      <w:r w:rsidRPr="0074218E">
        <w:rPr>
          <w:rFonts w:ascii="Times New Roman" w:hAnsi="Times New Roman" w:cs="Times New Roman"/>
          <w:sz w:val="24"/>
        </w:rPr>
        <w:t xml:space="preserve">). </w:t>
      </w:r>
    </w:p>
    <w:p w:rsidR="00744513" w:rsidRPr="0074218E" w:rsidRDefault="00744513" w:rsidP="00744513">
      <w:pPr>
        <w:ind w:firstLine="840"/>
        <w:rPr>
          <w:rFonts w:ascii="Times New Roman" w:hAnsi="Times New Roman" w:cs="Times New Roman"/>
          <w:sz w:val="24"/>
        </w:rPr>
      </w:pPr>
      <w:proofErr w:type="spellStart"/>
      <w:r w:rsidRPr="0074218E">
        <w:rPr>
          <w:rFonts w:ascii="Times New Roman" w:hAnsi="Times New Roman" w:cs="Times New Roman"/>
          <w:sz w:val="24"/>
        </w:rPr>
        <w:t>Cavoli</w:t>
      </w:r>
      <w:proofErr w:type="spellEnd"/>
      <w:r w:rsidRPr="0074218E">
        <w:rPr>
          <w:rFonts w:ascii="Times New Roman" w:hAnsi="Times New Roman" w:cs="Times New Roman"/>
          <w:sz w:val="24"/>
        </w:rPr>
        <w:t xml:space="preserve"> and </w:t>
      </w:r>
      <w:proofErr w:type="spellStart"/>
      <w:r w:rsidRPr="0074218E">
        <w:rPr>
          <w:rFonts w:ascii="Times New Roman" w:hAnsi="Times New Roman" w:cs="Times New Roman"/>
          <w:sz w:val="24"/>
        </w:rPr>
        <w:t>Rajan</w:t>
      </w:r>
      <w:proofErr w:type="spellEnd"/>
      <w:r w:rsidRPr="0074218E">
        <w:rPr>
          <w:rFonts w:ascii="Times New Roman" w:hAnsi="Times New Roman" w:cs="Times New Roman"/>
          <w:sz w:val="24"/>
        </w:rPr>
        <w:t xml:space="preserve"> (2007) characterize Singapore’s exchange rate policy through Frankel-Wei regressions. Instead of referring to the </w:t>
      </w:r>
      <w:r>
        <w:rPr>
          <w:rFonts w:ascii="Times New Roman" w:hAnsi="Times New Roman" w:cs="Times New Roman"/>
          <w:sz w:val="24"/>
        </w:rPr>
        <w:t>“</w:t>
      </w:r>
      <w:r w:rsidRPr="0074218E">
        <w:rPr>
          <w:rFonts w:ascii="Times New Roman" w:hAnsi="Times New Roman" w:cs="Times New Roman"/>
          <w:sz w:val="24"/>
        </w:rPr>
        <w:t>weights</w:t>
      </w:r>
      <w:r>
        <w:rPr>
          <w:rFonts w:ascii="Times New Roman" w:hAnsi="Times New Roman" w:cs="Times New Roman"/>
          <w:sz w:val="24"/>
        </w:rPr>
        <w:t>”</w:t>
      </w:r>
      <w:r w:rsidRPr="0074218E">
        <w:rPr>
          <w:rFonts w:ascii="Times New Roman" w:hAnsi="Times New Roman" w:cs="Times New Roman"/>
          <w:sz w:val="24"/>
        </w:rPr>
        <w:t xml:space="preserve"> of major currencies, they use the term </w:t>
      </w:r>
      <w:r>
        <w:rPr>
          <w:rFonts w:ascii="Times New Roman" w:hAnsi="Times New Roman" w:cs="Times New Roman"/>
          <w:sz w:val="24"/>
        </w:rPr>
        <w:t>“</w:t>
      </w:r>
      <w:r w:rsidRPr="0074218E">
        <w:rPr>
          <w:rFonts w:ascii="Times New Roman" w:hAnsi="Times New Roman" w:cs="Times New Roman"/>
          <w:sz w:val="24"/>
        </w:rPr>
        <w:t>degree of influence</w:t>
      </w:r>
      <w:r>
        <w:rPr>
          <w:rFonts w:ascii="Times New Roman" w:hAnsi="Times New Roman" w:cs="Times New Roman"/>
          <w:sz w:val="24"/>
        </w:rPr>
        <w:t xml:space="preserve">” </w:t>
      </w:r>
      <w:r w:rsidRPr="0074218E">
        <w:rPr>
          <w:rFonts w:ascii="Times New Roman" w:hAnsi="Times New Roman" w:cs="Times New Roman"/>
          <w:sz w:val="24"/>
        </w:rPr>
        <w:t xml:space="preserve">since </w:t>
      </w:r>
      <w:r>
        <w:rPr>
          <w:rFonts w:ascii="Times New Roman" w:hAnsi="Times New Roman" w:cs="Times New Roman"/>
          <w:sz w:val="24"/>
        </w:rPr>
        <w:t>“</w:t>
      </w:r>
      <w:r w:rsidRPr="0074218E">
        <w:rPr>
          <w:rFonts w:ascii="Times New Roman" w:hAnsi="Times New Roman" w:cs="Times New Roman"/>
          <w:sz w:val="24"/>
        </w:rPr>
        <w:t>weights</w:t>
      </w:r>
      <w:r>
        <w:rPr>
          <w:rFonts w:ascii="Times New Roman" w:hAnsi="Times New Roman" w:cs="Times New Roman"/>
          <w:sz w:val="24"/>
        </w:rPr>
        <w:t>”</w:t>
      </w:r>
      <w:r w:rsidRPr="0074218E">
        <w:rPr>
          <w:rFonts w:ascii="Times New Roman" w:hAnsi="Times New Roman" w:cs="Times New Roman"/>
          <w:sz w:val="24"/>
        </w:rPr>
        <w:t xml:space="preserve"> could not be appropriate in interpreting currency coefficients when regressed exchange rates are correlated with each other. Given that exchange rates are typically correlated, as shown in Tables 4</w:t>
      </w:r>
      <w:r>
        <w:rPr>
          <w:rFonts w:ascii="Times New Roman" w:hAnsi="Times New Roman" w:cs="Times New Roman"/>
          <w:sz w:val="24"/>
        </w:rPr>
        <w:t>-</w:t>
      </w:r>
      <w:r w:rsidRPr="0074218E">
        <w:rPr>
          <w:rFonts w:ascii="Times New Roman" w:hAnsi="Times New Roman" w:cs="Times New Roman"/>
          <w:sz w:val="24"/>
        </w:rPr>
        <w:t xml:space="preserve">6, this paper uses the term </w:t>
      </w:r>
      <w:r>
        <w:rPr>
          <w:rFonts w:ascii="Times New Roman" w:hAnsi="Times New Roman" w:cs="Times New Roman"/>
          <w:sz w:val="24"/>
        </w:rPr>
        <w:t>“</w:t>
      </w:r>
      <w:r w:rsidRPr="0074218E">
        <w:rPr>
          <w:rFonts w:ascii="Times New Roman" w:hAnsi="Times New Roman" w:cs="Times New Roman"/>
          <w:sz w:val="24"/>
        </w:rPr>
        <w:t>degree of influence</w:t>
      </w:r>
      <w:r>
        <w:rPr>
          <w:rFonts w:ascii="Times New Roman" w:hAnsi="Times New Roman" w:cs="Times New Roman"/>
          <w:sz w:val="24"/>
        </w:rPr>
        <w:t>.”</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Central Asian countries stayed within the</w:t>
      </w:r>
      <w:r>
        <w:rPr>
          <w:rFonts w:ascii="Times New Roman" w:hAnsi="Times New Roman" w:cs="Times New Roman"/>
          <w:sz w:val="24"/>
        </w:rPr>
        <w:t xml:space="preserve"> </w:t>
      </w:r>
      <w:r w:rsidRPr="0074218E">
        <w:rPr>
          <w:rFonts w:ascii="Times New Roman" w:hAnsi="Times New Roman" w:cs="Times New Roman"/>
          <w:sz w:val="24"/>
        </w:rPr>
        <w:t>ruble zone immediately after the dissolution of the U</w:t>
      </w:r>
      <w:r>
        <w:rPr>
          <w:rFonts w:ascii="Times New Roman" w:hAnsi="Times New Roman" w:cs="Times New Roman"/>
          <w:sz w:val="24"/>
        </w:rPr>
        <w:t xml:space="preserve">nion of </w:t>
      </w:r>
      <w:r w:rsidRPr="0074218E">
        <w:rPr>
          <w:rFonts w:ascii="Times New Roman" w:hAnsi="Times New Roman" w:cs="Times New Roman"/>
          <w:sz w:val="24"/>
        </w:rPr>
        <w:t>S</w:t>
      </w:r>
      <w:r>
        <w:rPr>
          <w:rFonts w:ascii="Times New Roman" w:hAnsi="Times New Roman" w:cs="Times New Roman"/>
          <w:sz w:val="24"/>
        </w:rPr>
        <w:t xml:space="preserve">oviet Socialist </w:t>
      </w:r>
      <w:r w:rsidRPr="0074218E">
        <w:rPr>
          <w:rFonts w:ascii="Times New Roman" w:hAnsi="Times New Roman" w:cs="Times New Roman"/>
          <w:sz w:val="24"/>
        </w:rPr>
        <w:t>R</w:t>
      </w:r>
      <w:r>
        <w:rPr>
          <w:rFonts w:ascii="Times New Roman" w:hAnsi="Times New Roman" w:cs="Times New Roman"/>
          <w:sz w:val="24"/>
        </w:rPr>
        <w:t>epublics</w:t>
      </w:r>
      <w:r w:rsidRPr="0074218E">
        <w:rPr>
          <w:rFonts w:ascii="Times New Roman" w:hAnsi="Times New Roman" w:cs="Times New Roman"/>
          <w:sz w:val="24"/>
        </w:rPr>
        <w:t xml:space="preserve"> and have reduced the </w:t>
      </w:r>
      <w:r>
        <w:rPr>
          <w:rFonts w:ascii="Times New Roman" w:hAnsi="Times New Roman" w:cs="Times New Roman"/>
          <w:sz w:val="24"/>
        </w:rPr>
        <w:t xml:space="preserve">ruble’s </w:t>
      </w:r>
      <w:r w:rsidRPr="0074218E">
        <w:rPr>
          <w:rFonts w:ascii="Times New Roman" w:hAnsi="Times New Roman" w:cs="Times New Roman"/>
          <w:sz w:val="24"/>
        </w:rPr>
        <w:t xml:space="preserve">influence </w:t>
      </w:r>
      <w:r>
        <w:rPr>
          <w:rFonts w:ascii="Times New Roman" w:hAnsi="Times New Roman" w:cs="Times New Roman"/>
          <w:sz w:val="24"/>
        </w:rPr>
        <w:t>only</w:t>
      </w:r>
      <w:r w:rsidRPr="0074218E">
        <w:rPr>
          <w:rFonts w:ascii="Times New Roman" w:hAnsi="Times New Roman" w:cs="Times New Roman"/>
          <w:sz w:val="24"/>
        </w:rPr>
        <w:t xml:space="preserve"> since the middle of the 1990s. To discuss recent foreign exchange rates in Central Asia, this paper examines how monthly changes in each national currency respond to those in major currencies,</w:t>
      </w:r>
      <w:r>
        <w:rPr>
          <w:rFonts w:ascii="Times New Roman" w:hAnsi="Times New Roman" w:cs="Times New Roman"/>
          <w:sz w:val="24"/>
        </w:rPr>
        <w:t xml:space="preserve"> </w:t>
      </w:r>
      <w:r w:rsidRPr="0074218E">
        <w:rPr>
          <w:rFonts w:ascii="Times New Roman" w:hAnsi="Times New Roman" w:cs="Times New Roman"/>
          <w:color w:val="000000"/>
          <w:sz w:val="24"/>
        </w:rPr>
        <w:t>over</w:t>
      </w:r>
      <w:r w:rsidRPr="0074218E">
        <w:rPr>
          <w:rFonts w:ascii="Times New Roman" w:hAnsi="Times New Roman" w:cs="Times New Roman"/>
          <w:sz w:val="24"/>
        </w:rPr>
        <w:t xml:space="preserve"> the period from June 1995 t</w:t>
      </w:r>
      <w:r>
        <w:rPr>
          <w:rFonts w:ascii="Times New Roman" w:hAnsi="Times New Roman" w:cs="Times New Roman"/>
          <w:sz w:val="24"/>
        </w:rPr>
        <w:t>hrough</w:t>
      </w:r>
      <w:r w:rsidRPr="0074218E">
        <w:rPr>
          <w:rFonts w:ascii="Times New Roman" w:hAnsi="Times New Roman" w:cs="Times New Roman"/>
          <w:sz w:val="24"/>
        </w:rPr>
        <w:t xml:space="preserve"> December 2013. Monthly data are from the websites of </w:t>
      </w:r>
      <w:r>
        <w:rPr>
          <w:rFonts w:ascii="Times New Roman" w:hAnsi="Times New Roman" w:cs="Times New Roman"/>
          <w:sz w:val="24"/>
        </w:rPr>
        <w:t xml:space="preserve">the </w:t>
      </w:r>
      <w:r w:rsidRPr="0074218E">
        <w:rPr>
          <w:rFonts w:ascii="Times New Roman" w:hAnsi="Times New Roman" w:cs="Times New Roman"/>
          <w:sz w:val="24"/>
        </w:rPr>
        <w:t>central banks. Following Frankel and Wei (1994), t</w:t>
      </w:r>
      <w:r w:rsidRPr="0074218E">
        <w:rPr>
          <w:rFonts w:ascii="Times New Roman" w:hAnsi="Times New Roman" w:cs="Times New Roman"/>
          <w:color w:val="000000"/>
          <w:sz w:val="24"/>
        </w:rPr>
        <w:t xml:space="preserve">he </w:t>
      </w:r>
      <w:r w:rsidRPr="0074218E">
        <w:rPr>
          <w:rFonts w:ascii="Times New Roman" w:hAnsi="Times New Roman" w:cs="Times New Roman"/>
          <w:sz w:val="24"/>
        </w:rPr>
        <w:t xml:space="preserve">analysis </w:t>
      </w:r>
      <w:r>
        <w:rPr>
          <w:rFonts w:ascii="Times New Roman" w:hAnsi="Times New Roman" w:cs="Times New Roman"/>
          <w:sz w:val="24"/>
        </w:rPr>
        <w:t>uses this</w:t>
      </w:r>
      <w:r w:rsidRPr="0074218E">
        <w:rPr>
          <w:rFonts w:ascii="Times New Roman" w:hAnsi="Times New Roman" w:cs="Times New Roman"/>
          <w:sz w:val="24"/>
        </w:rPr>
        <w:t xml:space="preserve"> regression model:     </w:t>
      </w:r>
    </w:p>
    <w:p w:rsidR="00744513" w:rsidRPr="0074218E" w:rsidRDefault="00744513" w:rsidP="00744513">
      <w:pPr>
        <w:spacing w:line="480" w:lineRule="auto"/>
        <w:ind w:firstLine="630"/>
        <w:rPr>
          <w:rFonts w:ascii="Times New Roman" w:hAnsi="Times New Roman" w:cs="Times New Roman"/>
          <w:sz w:val="24"/>
        </w:rPr>
      </w:pPr>
      <w:r w:rsidRPr="0074218E">
        <w:rPr>
          <w:rFonts w:ascii="Times New Roman" w:hAnsi="Times New Roman" w:cs="Times New Roman"/>
          <w:b/>
          <w:bCs/>
          <w:position w:val="-10"/>
          <w:sz w:val="2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pt" o:ole="">
            <v:imagedata r:id="rId11" o:title=""/>
          </v:shape>
          <o:OLEObject Type="Embed" ProgID="Equation.3" ShapeID="_x0000_i1025" DrawAspect="Content" ObjectID="_1608570488" r:id="rId12"/>
        </w:object>
      </w:r>
      <w:r w:rsidRPr="0074218E">
        <w:rPr>
          <w:rFonts w:ascii="Times New Roman" w:hAnsi="Times New Roman" w:cs="Times New Roman"/>
          <w:sz w:val="24"/>
        </w:rPr>
        <w:t xml:space="preserve">= </w:t>
      </w:r>
      <w:r w:rsidRPr="0074218E">
        <w:rPr>
          <w:rFonts w:ascii="Times New Roman" w:hAnsi="Times New Roman" w:cs="Times New Roman"/>
          <w:position w:val="-12"/>
          <w:sz w:val="24"/>
        </w:rPr>
        <w:object w:dxaOrig="3760" w:dyaOrig="380">
          <v:shape id="_x0000_i1026" type="#_x0000_t75" style="width:188.25pt;height:18.75pt" o:ole="">
            <v:imagedata r:id="rId13" o:title=""/>
          </v:shape>
          <o:OLEObject Type="Embed" ProgID="Equation.3" ShapeID="_x0000_i1026" DrawAspect="Content" ObjectID="_1608570489" r:id="rId14"/>
        </w:object>
      </w:r>
      <w:r w:rsidRPr="0074218E">
        <w:rPr>
          <w:rFonts w:ascii="Times New Roman" w:hAnsi="Times New Roman" w:cs="Times New Roman"/>
          <w:sz w:val="24"/>
        </w:rPr>
        <w:t xml:space="preserve"> +</w:t>
      </w:r>
    </w:p>
    <w:p w:rsidR="00744513" w:rsidRPr="0074218E" w:rsidRDefault="00744513" w:rsidP="00744513">
      <w:pPr>
        <w:spacing w:line="480" w:lineRule="auto"/>
        <w:ind w:firstLineChars="800" w:firstLine="1920"/>
        <w:rPr>
          <w:rFonts w:ascii="Times New Roman" w:hAnsi="Times New Roman" w:cs="Times New Roman"/>
          <w:sz w:val="24"/>
        </w:rPr>
      </w:pPr>
      <w:r w:rsidRPr="0074218E">
        <w:rPr>
          <w:rFonts w:ascii="Times New Roman" w:hAnsi="Times New Roman" w:cs="Times New Roman"/>
          <w:sz w:val="24"/>
        </w:rPr>
        <w:t xml:space="preserve">   </w:t>
      </w:r>
      <w:r w:rsidRPr="0074218E">
        <w:rPr>
          <w:rFonts w:ascii="Times New Roman" w:hAnsi="Times New Roman" w:cs="Times New Roman"/>
          <w:position w:val="-12"/>
          <w:sz w:val="24"/>
        </w:rPr>
        <w:object w:dxaOrig="3920" w:dyaOrig="380">
          <v:shape id="_x0000_i1027" type="#_x0000_t75" style="width:195.75pt;height:18.75pt" o:ole="">
            <v:imagedata r:id="rId15" o:title=""/>
          </v:shape>
          <o:OLEObject Type="Embed" ProgID="Equation.3" ShapeID="_x0000_i1027" DrawAspect="Content" ObjectID="_1608570490" r:id="rId16"/>
        </w:object>
      </w:r>
      <w:r w:rsidRPr="0074218E">
        <w:rPr>
          <w:rFonts w:ascii="Times New Roman" w:hAnsi="Times New Roman" w:cs="Times New Roman"/>
          <w:sz w:val="24"/>
        </w:rPr>
        <w:t xml:space="preserve">,      </w:t>
      </w:r>
    </w:p>
    <w:p w:rsidR="00744513" w:rsidRPr="0074218E" w:rsidRDefault="00744513" w:rsidP="00744513">
      <w:pPr>
        <w:rPr>
          <w:rFonts w:ascii="Times New Roman" w:hAnsi="Times New Roman" w:cs="Times New Roman"/>
          <w:sz w:val="24"/>
        </w:rPr>
      </w:pPr>
      <w:r w:rsidRPr="0074218E">
        <w:rPr>
          <w:rFonts w:ascii="Times New Roman" w:hAnsi="Times New Roman" w:cs="Times New Roman"/>
          <w:sz w:val="24"/>
        </w:rPr>
        <w:t xml:space="preserve">where the dependent variable, </w:t>
      </w:r>
      <w:r w:rsidRPr="0074218E">
        <w:rPr>
          <w:rFonts w:ascii="Times New Roman" w:hAnsi="Times New Roman" w:cs="Times New Roman"/>
          <w:position w:val="-10"/>
          <w:sz w:val="24"/>
        </w:rPr>
        <w:object w:dxaOrig="1420" w:dyaOrig="360">
          <v:shape id="_x0000_i1028" type="#_x0000_t75" style="width:71.25pt;height:18pt" o:ole="">
            <v:imagedata r:id="rId17" o:title=""/>
          </v:shape>
          <o:OLEObject Type="Embed" ProgID="Equation.3" ShapeID="_x0000_i1028" DrawAspect="Content" ObjectID="_1608570491" r:id="rId18"/>
        </w:object>
      </w:r>
      <w:r w:rsidRPr="0074218E">
        <w:rPr>
          <w:rFonts w:ascii="Times New Roman" w:hAnsi="Times New Roman" w:cs="Times New Roman"/>
          <w:sz w:val="24"/>
        </w:rPr>
        <w:t xml:space="preserve">, is the log difference of the nominal exchange rate of each national currency in </w:t>
      </w:r>
      <w:r>
        <w:rPr>
          <w:rFonts w:ascii="Times New Roman" w:hAnsi="Times New Roman" w:cs="Times New Roman"/>
          <w:sz w:val="24"/>
        </w:rPr>
        <w:t>C</w:t>
      </w:r>
      <w:r w:rsidRPr="0074218E">
        <w:rPr>
          <w:rFonts w:ascii="Times New Roman" w:hAnsi="Times New Roman" w:cs="Times New Roman"/>
          <w:sz w:val="24"/>
        </w:rPr>
        <w:t>entral Asia in terms of the Swiss franc</w:t>
      </w:r>
      <w:r>
        <w:rPr>
          <w:rFonts w:ascii="Times New Roman" w:hAnsi="Times New Roman" w:cs="Times New Roman"/>
          <w:sz w:val="24"/>
        </w:rPr>
        <w:t>.</w:t>
      </w:r>
      <w:r w:rsidRPr="0074218E">
        <w:rPr>
          <w:rFonts w:ascii="Times New Roman" w:hAnsi="Times New Roman" w:cs="Times New Roman"/>
          <w:sz w:val="24"/>
        </w:rPr>
        <w:t xml:space="preserve"> </w:t>
      </w:r>
      <w:r>
        <w:rPr>
          <w:rFonts w:ascii="Times New Roman" w:hAnsi="Times New Roman" w:cs="Times New Roman"/>
          <w:sz w:val="24"/>
        </w:rPr>
        <w:t>The i</w:t>
      </w:r>
      <w:r w:rsidRPr="0074218E">
        <w:rPr>
          <w:rFonts w:ascii="Times New Roman" w:hAnsi="Times New Roman" w:cs="Times New Roman"/>
          <w:sz w:val="24"/>
        </w:rPr>
        <w:t>ndependent variables,</w:t>
      </w:r>
      <w:r w:rsidRPr="0074218E">
        <w:rPr>
          <w:rFonts w:ascii="Times New Roman" w:hAnsi="Times New Roman" w:cs="Times New Roman"/>
          <w:position w:val="-10"/>
          <w:sz w:val="24"/>
        </w:rPr>
        <w:object w:dxaOrig="1320" w:dyaOrig="360">
          <v:shape id="_x0000_i1029" type="#_x0000_t75" style="width:66pt;height:18pt" o:ole="">
            <v:imagedata r:id="rId19" o:title=""/>
          </v:shape>
          <o:OLEObject Type="Embed" ProgID="Equation.3" ShapeID="_x0000_i1029" DrawAspect="Content" ObjectID="_1608570492" r:id="rId20"/>
        </w:object>
      </w:r>
      <w:r w:rsidRPr="0074218E">
        <w:rPr>
          <w:rFonts w:ascii="Times New Roman" w:hAnsi="Times New Roman" w:cs="Times New Roman"/>
          <w:sz w:val="24"/>
        </w:rPr>
        <w:t>,</w:t>
      </w:r>
      <w:r w:rsidRPr="0074218E">
        <w:rPr>
          <w:rFonts w:ascii="Times New Roman" w:hAnsi="Times New Roman" w:cs="Times New Roman"/>
          <w:position w:val="-10"/>
          <w:sz w:val="24"/>
        </w:rPr>
        <w:object w:dxaOrig="1420" w:dyaOrig="360">
          <v:shape id="_x0000_i1030" type="#_x0000_t75" style="width:71.25pt;height:18pt" o:ole="">
            <v:imagedata r:id="rId21" o:title=""/>
          </v:shape>
          <o:OLEObject Type="Embed" ProgID="Equation.3" ShapeID="_x0000_i1030" DrawAspect="Content" ObjectID="_1608570493" r:id="rId22"/>
        </w:object>
      </w:r>
      <w:r w:rsidRPr="0074218E">
        <w:rPr>
          <w:rFonts w:ascii="Times New Roman" w:hAnsi="Times New Roman" w:cs="Times New Roman"/>
          <w:sz w:val="24"/>
        </w:rPr>
        <w:t>,</w:t>
      </w:r>
      <w:r w:rsidRPr="0074218E">
        <w:rPr>
          <w:rFonts w:ascii="Times New Roman" w:hAnsi="Times New Roman" w:cs="Times New Roman"/>
          <w:position w:val="-10"/>
          <w:sz w:val="24"/>
        </w:rPr>
        <w:object w:dxaOrig="1420" w:dyaOrig="360">
          <v:shape id="_x0000_i1031" type="#_x0000_t75" style="width:71.25pt;height:18pt" o:ole="">
            <v:imagedata r:id="rId23" o:title=""/>
          </v:shape>
          <o:OLEObject Type="Embed" ProgID="Equation.3" ShapeID="_x0000_i1031" DrawAspect="Content" ObjectID="_1608570494" r:id="rId24"/>
        </w:object>
      </w:r>
      <w:r w:rsidRPr="0074218E">
        <w:rPr>
          <w:rFonts w:ascii="Times New Roman" w:hAnsi="Times New Roman" w:cs="Times New Roman"/>
          <w:sz w:val="24"/>
        </w:rPr>
        <w:t xml:space="preserve"> and</w:t>
      </w:r>
      <w:r w:rsidRPr="0074218E">
        <w:rPr>
          <w:rFonts w:ascii="Times New Roman" w:hAnsi="Times New Roman" w:cs="Times New Roman"/>
          <w:position w:val="-10"/>
          <w:sz w:val="24"/>
        </w:rPr>
        <w:object w:dxaOrig="1400" w:dyaOrig="360">
          <v:shape id="_x0000_i1032" type="#_x0000_t75" style="width:69.75pt;height:18pt" o:ole="">
            <v:imagedata r:id="rId25" o:title=""/>
          </v:shape>
          <o:OLEObject Type="Embed" ProgID="Equation.3" ShapeID="_x0000_i1032" DrawAspect="Content" ObjectID="_1608570495" r:id="rId26"/>
        </w:object>
      </w:r>
      <w:r w:rsidRPr="0074218E">
        <w:rPr>
          <w:rFonts w:ascii="Times New Roman" w:hAnsi="Times New Roman" w:cs="Times New Roman"/>
          <w:sz w:val="24"/>
        </w:rPr>
        <w:t xml:space="preserve">, are the </w:t>
      </w:r>
      <w:r>
        <w:rPr>
          <w:rFonts w:ascii="Times New Roman" w:hAnsi="Times New Roman" w:cs="Times New Roman"/>
          <w:sz w:val="24"/>
        </w:rPr>
        <w:t xml:space="preserve">respective </w:t>
      </w:r>
      <w:r w:rsidRPr="0074218E">
        <w:rPr>
          <w:rFonts w:ascii="Times New Roman" w:hAnsi="Times New Roman" w:cs="Times New Roman"/>
          <w:sz w:val="24"/>
        </w:rPr>
        <w:t xml:space="preserve">log differences of the dollar, the ruble, the </w:t>
      </w:r>
      <w:r>
        <w:rPr>
          <w:rFonts w:ascii="Times New Roman" w:hAnsi="Times New Roman" w:cs="Times New Roman"/>
          <w:sz w:val="24"/>
        </w:rPr>
        <w:t>e</w:t>
      </w:r>
      <w:r w:rsidRPr="0074218E">
        <w:rPr>
          <w:rFonts w:ascii="Times New Roman" w:hAnsi="Times New Roman" w:cs="Times New Roman"/>
          <w:sz w:val="24"/>
        </w:rPr>
        <w:t>uro, and the yen</w:t>
      </w:r>
      <w:r>
        <w:rPr>
          <w:rFonts w:ascii="Times New Roman" w:hAnsi="Times New Roman" w:cs="Times New Roman"/>
          <w:sz w:val="24"/>
        </w:rPr>
        <w:t>,</w:t>
      </w:r>
      <w:r w:rsidRPr="0074218E">
        <w:rPr>
          <w:rFonts w:ascii="Times New Roman" w:hAnsi="Times New Roman" w:cs="Times New Roman"/>
          <w:sz w:val="24"/>
        </w:rPr>
        <w:t xml:space="preserve"> in terms of the Swiss franc.</w:t>
      </w:r>
      <w:r w:rsidRPr="0074218E">
        <w:rPr>
          <w:rFonts w:ascii="Times New Roman" w:hAnsi="Times New Roman" w:cs="Times New Roman"/>
          <w:color w:val="000000"/>
          <w:sz w:val="24"/>
        </w:rPr>
        <w:t xml:space="preserve"> </w:t>
      </w:r>
      <w:r>
        <w:rPr>
          <w:rFonts w:ascii="Times New Roman" w:hAnsi="Times New Roman" w:cs="Times New Roman"/>
          <w:color w:val="000000"/>
          <w:sz w:val="24"/>
        </w:rPr>
        <w:t xml:space="preserve">A </w:t>
      </w:r>
      <w:r w:rsidRPr="0074218E">
        <w:rPr>
          <w:rFonts w:ascii="Times New Roman" w:hAnsi="Times New Roman" w:cs="Times New Roman"/>
          <w:color w:val="000000"/>
          <w:sz w:val="24"/>
        </w:rPr>
        <w:t xml:space="preserve">large coefficient corresponding to a major currency implies </w:t>
      </w:r>
      <w:r>
        <w:rPr>
          <w:rFonts w:ascii="Times New Roman" w:hAnsi="Times New Roman" w:cs="Times New Roman"/>
          <w:color w:val="000000"/>
          <w:sz w:val="24"/>
        </w:rPr>
        <w:t xml:space="preserve">that it </w:t>
      </w:r>
      <w:r w:rsidRPr="0074218E">
        <w:rPr>
          <w:rFonts w:ascii="Times New Roman" w:hAnsi="Times New Roman" w:cs="Times New Roman"/>
          <w:color w:val="000000"/>
          <w:sz w:val="24"/>
        </w:rPr>
        <w:t>influence</w:t>
      </w:r>
      <w:r>
        <w:rPr>
          <w:rFonts w:ascii="Times New Roman" w:hAnsi="Times New Roman" w:cs="Times New Roman"/>
          <w:color w:val="000000"/>
          <w:sz w:val="24"/>
        </w:rPr>
        <w:t xml:space="preserve">s </w:t>
      </w:r>
      <w:r w:rsidRPr="0074218E">
        <w:rPr>
          <w:rFonts w:ascii="Times New Roman" w:hAnsi="Times New Roman" w:cs="Times New Roman"/>
          <w:color w:val="000000"/>
          <w:sz w:val="24"/>
        </w:rPr>
        <w:t>the local currency</w:t>
      </w:r>
      <w:r>
        <w:rPr>
          <w:rFonts w:ascii="Times New Roman" w:hAnsi="Times New Roman" w:cs="Times New Roman"/>
          <w:color w:val="000000"/>
          <w:sz w:val="24"/>
        </w:rPr>
        <w:t xml:space="preserve"> significantly</w:t>
      </w:r>
      <w:r w:rsidRPr="0074218E">
        <w:rPr>
          <w:rFonts w:ascii="Times New Roman" w:hAnsi="Times New Roman" w:cs="Times New Roman"/>
          <w:color w:val="000000"/>
          <w:sz w:val="24"/>
        </w:rPr>
        <w:t xml:space="preserve">. </w:t>
      </w:r>
    </w:p>
    <w:p w:rsidR="00744513" w:rsidRPr="0074218E" w:rsidRDefault="00744513" w:rsidP="00744513">
      <w:pPr>
        <w:ind w:firstLine="840"/>
        <w:rPr>
          <w:rFonts w:ascii="Times New Roman" w:hAnsi="Times New Roman" w:cs="Times New Roman"/>
          <w:color w:val="000000"/>
          <w:sz w:val="24"/>
        </w:rPr>
      </w:pPr>
      <w:r>
        <w:rPr>
          <w:rFonts w:ascii="Times New Roman" w:hAnsi="Times New Roman" w:cs="Times New Roman"/>
          <w:sz w:val="24"/>
        </w:rPr>
        <w:t>F</w:t>
      </w:r>
      <w:r w:rsidRPr="0074218E">
        <w:rPr>
          <w:rFonts w:ascii="Times New Roman" w:hAnsi="Times New Roman" w:cs="Times New Roman"/>
          <w:sz w:val="24"/>
        </w:rPr>
        <w:t xml:space="preserve">ear of a floating currency can be captured by the </w:t>
      </w:r>
      <w:r>
        <w:rPr>
          <w:rFonts w:ascii="Times New Roman" w:hAnsi="Times New Roman" w:cs="Times New Roman"/>
          <w:sz w:val="24"/>
        </w:rPr>
        <w:t xml:space="preserve">currency’s </w:t>
      </w:r>
      <w:r w:rsidRPr="0074218E">
        <w:rPr>
          <w:rFonts w:ascii="Times New Roman" w:hAnsi="Times New Roman" w:cs="Times New Roman"/>
          <w:sz w:val="24"/>
        </w:rPr>
        <w:t xml:space="preserve">flexibility against the dollar, </w:t>
      </w:r>
      <w:r>
        <w:rPr>
          <w:rFonts w:ascii="Times New Roman" w:hAnsi="Times New Roman" w:cs="Times New Roman"/>
          <w:sz w:val="24"/>
        </w:rPr>
        <w:t xml:space="preserve">measured as the deviation from unity of the dollar </w:t>
      </w:r>
      <w:r w:rsidRPr="0074218E">
        <w:rPr>
          <w:rFonts w:ascii="Times New Roman" w:hAnsi="Times New Roman" w:cs="Times New Roman"/>
          <w:sz w:val="24"/>
        </w:rPr>
        <w:t xml:space="preserve">coefficient </w:t>
      </w:r>
      <w:r>
        <w:rPr>
          <w:rFonts w:ascii="Times New Roman" w:hAnsi="Times New Roman" w:cs="Times New Roman"/>
          <w:sz w:val="24"/>
        </w:rPr>
        <w:t>(Ogawa and Yang, 2008)</w:t>
      </w:r>
      <w:r w:rsidRPr="0074218E">
        <w:rPr>
          <w:rFonts w:ascii="Times New Roman" w:hAnsi="Times New Roman" w:cs="Times New Roman"/>
          <w:sz w:val="24"/>
        </w:rPr>
        <w:t>.</w:t>
      </w:r>
      <w:r>
        <w:rPr>
          <w:rFonts w:ascii="Times New Roman" w:hAnsi="Times New Roman" w:cs="Times New Roman"/>
          <w:sz w:val="24"/>
        </w:rPr>
        <w:t xml:space="preserve"> A</w:t>
      </w:r>
      <w:r w:rsidRPr="0074218E">
        <w:rPr>
          <w:rFonts w:ascii="Times New Roman" w:hAnsi="Times New Roman" w:cs="Times New Roman"/>
          <w:sz w:val="24"/>
        </w:rPr>
        <w:t xml:space="preserve">s discussed in </w:t>
      </w:r>
      <w:proofErr w:type="spellStart"/>
      <w:r w:rsidRPr="0074218E">
        <w:rPr>
          <w:rFonts w:ascii="Times New Roman" w:hAnsi="Times New Roman" w:cs="Times New Roman"/>
          <w:sz w:val="24"/>
        </w:rPr>
        <w:t>Baig</w:t>
      </w:r>
      <w:proofErr w:type="spellEnd"/>
      <w:r w:rsidRPr="0074218E">
        <w:rPr>
          <w:rFonts w:ascii="Times New Roman" w:hAnsi="Times New Roman" w:cs="Times New Roman"/>
          <w:sz w:val="24"/>
        </w:rPr>
        <w:t xml:space="preserve"> (2001) and </w:t>
      </w:r>
      <w:proofErr w:type="spellStart"/>
      <w:r w:rsidRPr="0074218E">
        <w:rPr>
          <w:rFonts w:ascii="Times New Roman" w:hAnsi="Times New Roman" w:cs="Times New Roman"/>
          <w:sz w:val="24"/>
        </w:rPr>
        <w:t>Cavoli</w:t>
      </w:r>
      <w:proofErr w:type="spellEnd"/>
      <w:r w:rsidRPr="0074218E">
        <w:rPr>
          <w:rFonts w:ascii="Times New Roman" w:hAnsi="Times New Roman" w:cs="Times New Roman"/>
          <w:sz w:val="24"/>
        </w:rPr>
        <w:t xml:space="preserve"> and </w:t>
      </w:r>
      <w:proofErr w:type="spellStart"/>
      <w:r w:rsidRPr="0074218E">
        <w:rPr>
          <w:rFonts w:ascii="Times New Roman" w:hAnsi="Times New Roman" w:cs="Times New Roman"/>
          <w:sz w:val="24"/>
        </w:rPr>
        <w:t>Rajan</w:t>
      </w:r>
      <w:proofErr w:type="spellEnd"/>
      <w:r w:rsidRPr="0074218E">
        <w:rPr>
          <w:rFonts w:ascii="Times New Roman" w:hAnsi="Times New Roman" w:cs="Times New Roman"/>
          <w:sz w:val="24"/>
        </w:rPr>
        <w:t xml:space="preserve"> (2007), a large value of the coefficient of a major currency </w:t>
      </w:r>
      <w:r>
        <w:rPr>
          <w:rFonts w:ascii="Times New Roman" w:hAnsi="Times New Roman" w:cs="Times New Roman"/>
          <w:sz w:val="24"/>
        </w:rPr>
        <w:t>need not</w:t>
      </w:r>
      <w:r w:rsidRPr="0074218E">
        <w:rPr>
          <w:rFonts w:ascii="Times New Roman" w:hAnsi="Times New Roman" w:cs="Times New Roman"/>
          <w:sz w:val="24"/>
        </w:rPr>
        <w:t xml:space="preserve"> connote pegging to the currency, since it might reflect not exchange rate policy but market-driven correlations between the two currencies.</w:t>
      </w:r>
      <w:r w:rsidRPr="0074218E">
        <w:rPr>
          <w:rStyle w:val="ab"/>
          <w:rFonts w:ascii="Times New Roman" w:hAnsi="Times New Roman" w:cs="Times New Roman"/>
          <w:sz w:val="24"/>
        </w:rPr>
        <w:footnoteReference w:id="10"/>
      </w:r>
    </w:p>
    <w:p w:rsidR="00744513" w:rsidRPr="0074218E"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 xml:space="preserve">To analyze the influence of major currencies on local </w:t>
      </w:r>
      <w:r>
        <w:rPr>
          <w:rFonts w:ascii="Times New Roman" w:hAnsi="Times New Roman" w:cs="Times New Roman"/>
          <w:color w:val="000000"/>
          <w:sz w:val="24"/>
        </w:rPr>
        <w:t>ones</w:t>
      </w:r>
      <w:r w:rsidRPr="0074218E">
        <w:rPr>
          <w:rFonts w:ascii="Times New Roman" w:hAnsi="Times New Roman" w:cs="Times New Roman"/>
          <w:color w:val="000000"/>
          <w:sz w:val="24"/>
        </w:rPr>
        <w:t xml:space="preserve">, this paper estimates the </w:t>
      </w:r>
      <w:r w:rsidRPr="0074218E">
        <w:rPr>
          <w:rFonts w:ascii="Times New Roman" w:hAnsi="Times New Roman" w:cs="Times New Roman"/>
          <w:sz w:val="24"/>
        </w:rPr>
        <w:t xml:space="preserve">Frankel and Wei (1994) </w:t>
      </w:r>
      <w:r w:rsidRPr="0074218E">
        <w:rPr>
          <w:rFonts w:ascii="Times New Roman" w:hAnsi="Times New Roman" w:cs="Times New Roman"/>
          <w:color w:val="000000"/>
          <w:sz w:val="24"/>
        </w:rPr>
        <w:t>equation through two methods: The standard time-invariant OLS</w:t>
      </w:r>
      <w:r>
        <w:rPr>
          <w:rFonts w:ascii="Times New Roman" w:hAnsi="Times New Roman" w:cs="Times New Roman"/>
          <w:color w:val="000000"/>
          <w:sz w:val="24"/>
        </w:rPr>
        <w:t>;</w:t>
      </w:r>
      <w:r w:rsidRPr="0074218E">
        <w:rPr>
          <w:rFonts w:ascii="Times New Roman" w:hAnsi="Times New Roman" w:cs="Times New Roman"/>
          <w:color w:val="000000"/>
          <w:sz w:val="24"/>
        </w:rPr>
        <w:t xml:space="preserve"> and the time-varying recursive OLS, following </w:t>
      </w:r>
      <w:proofErr w:type="spellStart"/>
      <w:r w:rsidRPr="0074218E">
        <w:rPr>
          <w:rFonts w:ascii="Times New Roman" w:hAnsi="Times New Roman" w:cs="Times New Roman"/>
          <w:color w:val="000000"/>
          <w:sz w:val="24"/>
        </w:rPr>
        <w:t>Cavoli</w:t>
      </w:r>
      <w:proofErr w:type="spellEnd"/>
      <w:r w:rsidRPr="0074218E">
        <w:rPr>
          <w:rFonts w:ascii="Times New Roman" w:hAnsi="Times New Roman" w:cs="Times New Roman"/>
          <w:color w:val="000000"/>
          <w:sz w:val="24"/>
        </w:rPr>
        <w:t xml:space="preserve"> and </w:t>
      </w:r>
      <w:proofErr w:type="spellStart"/>
      <w:r w:rsidRPr="0074218E">
        <w:rPr>
          <w:rFonts w:ascii="Times New Roman" w:hAnsi="Times New Roman" w:cs="Times New Roman"/>
          <w:color w:val="000000"/>
          <w:sz w:val="24"/>
        </w:rPr>
        <w:t>Rajan</w:t>
      </w:r>
      <w:proofErr w:type="spellEnd"/>
      <w:r w:rsidRPr="0074218E">
        <w:rPr>
          <w:rFonts w:ascii="Times New Roman" w:hAnsi="Times New Roman" w:cs="Times New Roman"/>
          <w:color w:val="000000"/>
          <w:sz w:val="24"/>
        </w:rPr>
        <w:t xml:space="preserve"> (2007)</w:t>
      </w:r>
      <w:r>
        <w:rPr>
          <w:rFonts w:ascii="Times New Roman" w:hAnsi="Times New Roman" w:cs="Times New Roman"/>
          <w:color w:val="000000"/>
          <w:sz w:val="24"/>
        </w:rPr>
        <w:t xml:space="preserve"> and </w:t>
      </w:r>
      <w:r w:rsidRPr="0074218E">
        <w:rPr>
          <w:rFonts w:ascii="Times New Roman" w:hAnsi="Times New Roman" w:cs="Times New Roman"/>
          <w:color w:val="000000"/>
          <w:sz w:val="24"/>
        </w:rPr>
        <w:t>Ogawa and Yang (200</w:t>
      </w:r>
      <w:r>
        <w:rPr>
          <w:rFonts w:ascii="Times New Roman" w:hAnsi="Times New Roman" w:cs="Times New Roman"/>
          <w:color w:val="000000"/>
          <w:sz w:val="24"/>
        </w:rPr>
        <w:t>8</w:t>
      </w:r>
      <w:r w:rsidRPr="0074218E">
        <w:rPr>
          <w:rFonts w:ascii="Times New Roman" w:hAnsi="Times New Roman" w:cs="Times New Roman"/>
          <w:color w:val="000000"/>
          <w:sz w:val="24"/>
        </w:rPr>
        <w:t xml:space="preserve">). The first method is applied in a preliminary examination of the whole sample period. The latter method, an extension of the former, estimates repeatedly, using subsets of the data that increase by one observation at each iteration. This allows us to trace the evolution of the coefficients. </w:t>
      </w:r>
      <w:r>
        <w:rPr>
          <w:rFonts w:ascii="Times New Roman" w:hAnsi="Times New Roman" w:cs="Times New Roman"/>
          <w:color w:val="000000"/>
          <w:sz w:val="24"/>
        </w:rPr>
        <w:t xml:space="preserve">Large </w:t>
      </w:r>
      <w:r w:rsidRPr="0074218E">
        <w:rPr>
          <w:rFonts w:ascii="Times New Roman" w:hAnsi="Times New Roman" w:cs="Times New Roman"/>
          <w:color w:val="000000"/>
          <w:sz w:val="24"/>
        </w:rPr>
        <w:t xml:space="preserve">variations in an estimated coefficient indicate a structural break. </w:t>
      </w:r>
    </w:p>
    <w:p w:rsidR="00744513" w:rsidRPr="0074218E" w:rsidRDefault="00744513" w:rsidP="00744513">
      <w:pPr>
        <w:ind w:firstLine="840"/>
        <w:rPr>
          <w:rFonts w:ascii="Times New Roman" w:hAnsi="Times New Roman" w:cs="Times New Roman"/>
          <w:bCs/>
          <w:color w:val="000000"/>
          <w:sz w:val="24"/>
        </w:rPr>
      </w:pPr>
      <w:r>
        <w:rPr>
          <w:rFonts w:ascii="Times New Roman" w:hAnsi="Times New Roman" w:cs="Times New Roman"/>
          <w:bCs/>
          <w:color w:val="000000"/>
          <w:sz w:val="24"/>
        </w:rPr>
        <w:t xml:space="preserve">Time-varying coefficients are a staple of the recent literature on exchange rates. </w:t>
      </w:r>
      <w:r w:rsidRPr="0074218E">
        <w:rPr>
          <w:rFonts w:ascii="Times New Roman" w:hAnsi="Times New Roman" w:cs="Times New Roman"/>
          <w:bCs/>
          <w:color w:val="000000"/>
          <w:sz w:val="24"/>
        </w:rPr>
        <w:t xml:space="preserve">In analyzing the influence of the dollar and the yen on Singapore’s currency, </w:t>
      </w:r>
      <w:proofErr w:type="spellStart"/>
      <w:r w:rsidRPr="0074218E">
        <w:rPr>
          <w:rFonts w:ascii="Times New Roman" w:hAnsi="Times New Roman" w:cs="Times New Roman"/>
          <w:bCs/>
          <w:color w:val="000000"/>
          <w:sz w:val="24"/>
        </w:rPr>
        <w:t>Cavoli</w:t>
      </w:r>
      <w:proofErr w:type="spellEnd"/>
      <w:r w:rsidRPr="0074218E">
        <w:rPr>
          <w:rFonts w:ascii="Times New Roman" w:hAnsi="Times New Roman" w:cs="Times New Roman"/>
          <w:bCs/>
          <w:color w:val="000000"/>
          <w:sz w:val="24"/>
        </w:rPr>
        <w:t xml:space="preserve"> and </w:t>
      </w:r>
      <w:proofErr w:type="spellStart"/>
      <w:r w:rsidRPr="0074218E">
        <w:rPr>
          <w:rFonts w:ascii="Times New Roman" w:hAnsi="Times New Roman" w:cs="Times New Roman"/>
          <w:bCs/>
          <w:color w:val="000000"/>
          <w:sz w:val="24"/>
        </w:rPr>
        <w:t>Rajan</w:t>
      </w:r>
      <w:proofErr w:type="spellEnd"/>
      <w:r w:rsidRPr="0074218E">
        <w:rPr>
          <w:rFonts w:ascii="Times New Roman" w:hAnsi="Times New Roman" w:cs="Times New Roman"/>
          <w:bCs/>
          <w:color w:val="000000"/>
          <w:sz w:val="24"/>
        </w:rPr>
        <w:t xml:space="preserve"> (2007) used recursive OLS estimates.</w:t>
      </w:r>
      <w:r>
        <w:rPr>
          <w:rFonts w:ascii="Times New Roman" w:hAnsi="Times New Roman" w:cs="Times New Roman"/>
          <w:bCs/>
          <w:color w:val="000000"/>
          <w:sz w:val="24"/>
        </w:rPr>
        <w:t xml:space="preserve"> </w:t>
      </w:r>
      <w:r w:rsidRPr="0074218E">
        <w:rPr>
          <w:rFonts w:ascii="Times New Roman" w:hAnsi="Times New Roman" w:cs="Times New Roman"/>
          <w:bCs/>
          <w:color w:val="000000"/>
          <w:sz w:val="24"/>
        </w:rPr>
        <w:t xml:space="preserve">Beckmann et al. (2010) used time-varying coefficients to examine the relationship between the </w:t>
      </w:r>
      <w:r>
        <w:rPr>
          <w:rFonts w:ascii="Times New Roman" w:hAnsi="Times New Roman" w:cs="Times New Roman"/>
          <w:bCs/>
          <w:color w:val="000000"/>
          <w:sz w:val="24"/>
        </w:rPr>
        <w:t xml:space="preserve">exchange rate for the </w:t>
      </w:r>
      <w:r w:rsidRPr="0074218E">
        <w:rPr>
          <w:rFonts w:ascii="Times New Roman" w:hAnsi="Times New Roman" w:cs="Times New Roman"/>
          <w:bCs/>
          <w:color w:val="000000"/>
          <w:sz w:val="24"/>
        </w:rPr>
        <w:t>Deutsche mark</w:t>
      </w:r>
      <w:r>
        <w:rPr>
          <w:rFonts w:ascii="Times New Roman" w:hAnsi="Times New Roman" w:cs="Times New Roman"/>
          <w:bCs/>
          <w:color w:val="000000"/>
          <w:sz w:val="24"/>
        </w:rPr>
        <w:t xml:space="preserve"> and the </w:t>
      </w:r>
      <w:r w:rsidRPr="0074218E">
        <w:rPr>
          <w:rFonts w:ascii="Times New Roman" w:hAnsi="Times New Roman" w:cs="Times New Roman"/>
          <w:bCs/>
          <w:color w:val="000000"/>
          <w:sz w:val="24"/>
        </w:rPr>
        <w:t>dollar and macroeconomic fundamentals</w:t>
      </w:r>
      <w:r>
        <w:rPr>
          <w:rFonts w:ascii="Times New Roman" w:hAnsi="Times New Roman" w:cs="Times New Roman"/>
          <w:bCs/>
          <w:color w:val="000000"/>
          <w:sz w:val="24"/>
        </w:rPr>
        <w:t xml:space="preserve">, shown in </w:t>
      </w:r>
      <w:r w:rsidRPr="0074218E">
        <w:rPr>
          <w:rFonts w:ascii="Times New Roman" w:hAnsi="Times New Roman" w:cs="Times New Roman"/>
          <w:bCs/>
          <w:color w:val="000000"/>
          <w:sz w:val="24"/>
        </w:rPr>
        <w:t>monthly data from 1975 to 2007. With time-varying coefficients, Kim et al. (200</w:t>
      </w:r>
      <w:r>
        <w:rPr>
          <w:rFonts w:ascii="Times New Roman" w:hAnsi="Times New Roman" w:cs="Times New Roman"/>
          <w:bCs/>
          <w:color w:val="000000"/>
          <w:sz w:val="24"/>
        </w:rPr>
        <w:t>9</w:t>
      </w:r>
      <w:r w:rsidRPr="0074218E">
        <w:rPr>
          <w:rFonts w:ascii="Times New Roman" w:hAnsi="Times New Roman" w:cs="Times New Roman"/>
          <w:bCs/>
          <w:color w:val="000000"/>
          <w:sz w:val="24"/>
        </w:rPr>
        <w:t>) investigated the purchasing power parity of Southeast Asian currencies. These papers use time-varying coefficients mainly to track changes in relationship</w:t>
      </w:r>
      <w:r>
        <w:rPr>
          <w:rFonts w:ascii="Times New Roman" w:hAnsi="Times New Roman" w:cs="Times New Roman"/>
          <w:bCs/>
          <w:color w:val="000000"/>
          <w:sz w:val="24"/>
        </w:rPr>
        <w:t>s</w:t>
      </w:r>
      <w:r w:rsidRPr="0074218E">
        <w:rPr>
          <w:rFonts w:ascii="Times New Roman" w:hAnsi="Times New Roman" w:cs="Times New Roman"/>
          <w:bCs/>
          <w:color w:val="000000"/>
          <w:sz w:val="24"/>
        </w:rPr>
        <w:t xml:space="preserve">. </w:t>
      </w:r>
    </w:p>
    <w:p w:rsidR="00744513" w:rsidRPr="0074218E" w:rsidRDefault="00744513" w:rsidP="00744513">
      <w:pPr>
        <w:ind w:firstLine="840"/>
        <w:rPr>
          <w:rFonts w:ascii="Times New Roman" w:hAnsi="Times New Roman" w:cs="Times New Roman"/>
          <w:bCs/>
          <w:color w:val="000000"/>
          <w:sz w:val="24"/>
        </w:rPr>
      </w:pPr>
      <w:r w:rsidRPr="0074218E">
        <w:rPr>
          <w:rFonts w:ascii="Times New Roman" w:hAnsi="Times New Roman" w:cs="Times New Roman"/>
          <w:bCs/>
          <w:color w:val="000000"/>
          <w:sz w:val="24"/>
        </w:rPr>
        <w:t>Beckmann et al. (2010) use time-varying coefficients because of the Lucas critique: Coefficients change when people anticipate a change in policy. Fixed coefficients can</w:t>
      </w:r>
      <w:r>
        <w:rPr>
          <w:rFonts w:ascii="Times New Roman" w:hAnsi="Times New Roman" w:cs="Times New Roman"/>
          <w:bCs/>
          <w:color w:val="000000"/>
          <w:sz w:val="24"/>
        </w:rPr>
        <w:t xml:space="preserve">not capture the effects of </w:t>
      </w:r>
      <w:r w:rsidRPr="0074218E">
        <w:rPr>
          <w:rFonts w:ascii="Times New Roman" w:hAnsi="Times New Roman" w:cs="Times New Roman"/>
          <w:bCs/>
          <w:color w:val="000000"/>
          <w:sz w:val="24"/>
        </w:rPr>
        <w:t>anticipated and unanticipated shocks.</w:t>
      </w:r>
    </w:p>
    <w:p w:rsidR="00744513" w:rsidRPr="0074218E" w:rsidRDefault="00744513" w:rsidP="00744513">
      <w:pPr>
        <w:rPr>
          <w:rFonts w:ascii="Times New Roman" w:hAnsi="Times New Roman" w:cs="Times New Roman"/>
          <w:b/>
          <w:bCs/>
          <w:color w:val="000000"/>
          <w:sz w:val="24"/>
        </w:rPr>
      </w:pPr>
    </w:p>
    <w:p w:rsidR="00744513" w:rsidRPr="0074218E" w:rsidRDefault="00744513" w:rsidP="00744513">
      <w:pPr>
        <w:rPr>
          <w:rFonts w:ascii="Times New Roman" w:hAnsi="Times New Roman" w:cs="Times New Roman"/>
          <w:b/>
          <w:color w:val="000000"/>
          <w:sz w:val="24"/>
        </w:rPr>
      </w:pPr>
      <w:r w:rsidRPr="0074218E">
        <w:rPr>
          <w:rFonts w:ascii="Times New Roman" w:hAnsi="Times New Roman" w:cs="Times New Roman"/>
          <w:b/>
          <w:color w:val="000000"/>
          <w:sz w:val="24"/>
        </w:rPr>
        <w:t xml:space="preserve">3.2. Diagnostic </w:t>
      </w:r>
      <w:r>
        <w:rPr>
          <w:rFonts w:ascii="Times New Roman" w:hAnsi="Times New Roman" w:cs="Times New Roman"/>
          <w:b/>
          <w:color w:val="000000"/>
          <w:sz w:val="24"/>
        </w:rPr>
        <w:t>t</w:t>
      </w:r>
      <w:r w:rsidRPr="0074218E">
        <w:rPr>
          <w:rFonts w:ascii="Times New Roman" w:hAnsi="Times New Roman" w:cs="Times New Roman"/>
          <w:b/>
          <w:color w:val="000000"/>
          <w:sz w:val="24"/>
        </w:rPr>
        <w:t>ests</w:t>
      </w:r>
    </w:p>
    <w:p w:rsidR="00744513" w:rsidRPr="0074218E" w:rsidRDefault="00744513" w:rsidP="00744513">
      <w:pPr>
        <w:rPr>
          <w:rFonts w:ascii="Times New Roman" w:hAnsi="Times New Roman" w:cs="Times New Roman"/>
          <w:color w:val="000000"/>
          <w:sz w:val="24"/>
        </w:rPr>
      </w:pPr>
    </w:p>
    <w:p w:rsidR="00744513" w:rsidRPr="0074218E"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One must determine whether the time series used are stationary</w:t>
      </w:r>
      <w:r>
        <w:rPr>
          <w:rFonts w:ascii="Times New Roman" w:hAnsi="Times New Roman" w:cs="Times New Roman"/>
          <w:color w:val="000000"/>
          <w:sz w:val="24"/>
        </w:rPr>
        <w:t xml:space="preserve"> – that is, whether their nature remains the same over time</w:t>
      </w:r>
      <w:r w:rsidRPr="0074218E">
        <w:rPr>
          <w:rFonts w:ascii="Times New Roman" w:hAnsi="Times New Roman" w:cs="Times New Roman"/>
          <w:color w:val="000000"/>
          <w:sz w:val="24"/>
        </w:rPr>
        <w:t>. If they are not</w:t>
      </w:r>
      <w:r>
        <w:rPr>
          <w:rFonts w:ascii="Times New Roman" w:hAnsi="Times New Roman" w:cs="Times New Roman"/>
          <w:color w:val="000000"/>
          <w:sz w:val="24"/>
        </w:rPr>
        <w:t xml:space="preserve"> stationary</w:t>
      </w:r>
      <w:r w:rsidRPr="0074218E">
        <w:rPr>
          <w:rFonts w:ascii="Times New Roman" w:hAnsi="Times New Roman" w:cs="Times New Roman"/>
          <w:color w:val="000000"/>
          <w:sz w:val="24"/>
        </w:rPr>
        <w:t>, the regression might be spurious and the coefficients invalid. Augmented Dickey-Fuller (ADF) unit root tests find that all variables are stationary in their first differences (Table 7).</w:t>
      </w: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Default="00744513" w:rsidP="00744513">
      <w:pPr>
        <w:rPr>
          <w:rFonts w:ascii="Times New Roman" w:hAnsi="Times New Roman" w:cs="Times New Roman"/>
          <w:color w:val="000000"/>
          <w:sz w:val="24"/>
        </w:rPr>
      </w:pPr>
    </w:p>
    <w:p w:rsidR="00744513" w:rsidRPr="0074218E" w:rsidRDefault="00744513" w:rsidP="00744513">
      <w:pPr>
        <w:rPr>
          <w:rFonts w:ascii="Times New Roman" w:hAnsi="Times New Roman" w:cs="Times New Roman"/>
          <w:color w:val="000000"/>
          <w:sz w:val="24"/>
        </w:rPr>
      </w:pPr>
    </w:p>
    <w:tbl>
      <w:tblPr>
        <w:tblW w:w="7870" w:type="dxa"/>
        <w:tblInd w:w="318" w:type="dxa"/>
        <w:tblBorders>
          <w:top w:val="single" w:sz="4" w:space="0" w:color="auto"/>
          <w:bottom w:val="single" w:sz="4" w:space="0" w:color="auto"/>
          <w:insideH w:val="single" w:sz="4" w:space="0" w:color="auto"/>
        </w:tblBorders>
        <w:tblLook w:val="0000" w:firstRow="0" w:lastRow="0" w:firstColumn="0" w:lastColumn="0" w:noHBand="0" w:noVBand="0"/>
      </w:tblPr>
      <w:tblGrid>
        <w:gridCol w:w="3045"/>
        <w:gridCol w:w="460"/>
        <w:gridCol w:w="1672"/>
        <w:gridCol w:w="500"/>
        <w:gridCol w:w="2193"/>
      </w:tblGrid>
      <w:tr w:rsidR="00744513" w:rsidRPr="0074218E" w:rsidTr="00733706">
        <w:trPr>
          <w:trHeight w:val="587"/>
        </w:trPr>
        <w:tc>
          <w:tcPr>
            <w:tcW w:w="3045" w:type="dxa"/>
            <w:tcBorders>
              <w:left w:val="single" w:sz="4" w:space="0" w:color="auto"/>
              <w:bottom w:val="single" w:sz="4" w:space="0" w:color="auto"/>
            </w:tcBorders>
            <w:shd w:val="clear" w:color="auto" w:fill="auto"/>
            <w:noWrap/>
            <w:vAlign w:val="center"/>
          </w:tcPr>
          <w:p w:rsidR="00744513" w:rsidRPr="0074218E" w:rsidRDefault="00744513" w:rsidP="00733706">
            <w:pPr>
              <w:widowControl/>
              <w:jc w:val="center"/>
              <w:rPr>
                <w:rFonts w:ascii="Times New Roman" w:eastAsia="MS Mincho" w:hAnsi="Times New Roman" w:cs="Times New Roman"/>
                <w:sz w:val="20"/>
                <w:szCs w:val="20"/>
              </w:rPr>
            </w:pPr>
            <w:r w:rsidRPr="0074218E">
              <w:rPr>
                <w:rFonts w:ascii="Times New Roman" w:eastAsia="MS Mincho" w:hAnsi="Times New Roman" w:cs="Times New Roman"/>
                <w:sz w:val="20"/>
                <w:szCs w:val="20"/>
              </w:rPr>
              <w:lastRenderedPageBreak/>
              <w:t>Variables</w:t>
            </w:r>
          </w:p>
        </w:tc>
        <w:tc>
          <w:tcPr>
            <w:tcW w:w="460" w:type="dxa"/>
            <w:tcBorders>
              <w:bottom w:val="single" w:sz="4" w:space="0" w:color="auto"/>
            </w:tcBorders>
            <w:shd w:val="clear" w:color="auto" w:fill="auto"/>
            <w:noWrap/>
            <w:vAlign w:val="center"/>
          </w:tcPr>
          <w:p w:rsidR="00744513" w:rsidRPr="0074218E" w:rsidRDefault="00744513" w:rsidP="00733706">
            <w:pPr>
              <w:widowControl/>
              <w:jc w:val="center"/>
              <w:rPr>
                <w:rFonts w:ascii="Times New Roman" w:eastAsia="MS Mincho" w:hAnsi="Times New Roman" w:cs="Times New Roman"/>
                <w:sz w:val="20"/>
                <w:szCs w:val="20"/>
              </w:rPr>
            </w:pPr>
            <w:r w:rsidRPr="0074218E">
              <w:rPr>
                <w:rFonts w:ascii="Times New Roman" w:eastAsia="MS Mincho" w:hAnsi="Times New Roman" w:cs="Times New Roman"/>
                <w:sz w:val="20"/>
                <w:szCs w:val="20"/>
              </w:rPr>
              <w:t> </w:t>
            </w:r>
          </w:p>
        </w:tc>
        <w:tc>
          <w:tcPr>
            <w:tcW w:w="1672" w:type="dxa"/>
            <w:tcBorders>
              <w:bottom w:val="single" w:sz="4" w:space="0" w:color="auto"/>
            </w:tcBorders>
            <w:shd w:val="clear" w:color="auto" w:fill="auto"/>
            <w:vAlign w:val="center"/>
          </w:tcPr>
          <w:p w:rsidR="00744513" w:rsidRPr="0074218E" w:rsidRDefault="00744513" w:rsidP="00733706">
            <w:pPr>
              <w:widowControl/>
              <w:jc w:val="center"/>
              <w:rPr>
                <w:rFonts w:ascii="Times New Roman" w:eastAsia="MS Mincho" w:hAnsi="Times New Roman" w:cs="Times New Roman"/>
                <w:sz w:val="20"/>
                <w:szCs w:val="20"/>
              </w:rPr>
            </w:pPr>
            <w:r w:rsidRPr="0074218E">
              <w:rPr>
                <w:rFonts w:ascii="Times New Roman" w:eastAsia="MS Mincho" w:hAnsi="Times New Roman" w:cs="Times New Roman"/>
                <w:sz w:val="20"/>
                <w:szCs w:val="20"/>
              </w:rPr>
              <w:t>Test Statistic</w:t>
            </w:r>
          </w:p>
        </w:tc>
        <w:tc>
          <w:tcPr>
            <w:tcW w:w="500" w:type="dxa"/>
            <w:tcBorders>
              <w:bottom w:val="single" w:sz="4" w:space="0" w:color="auto"/>
            </w:tcBorders>
            <w:shd w:val="clear" w:color="auto" w:fill="auto"/>
            <w:noWrap/>
            <w:vAlign w:val="center"/>
          </w:tcPr>
          <w:p w:rsidR="00744513" w:rsidRPr="0074218E" w:rsidRDefault="00744513" w:rsidP="00733706">
            <w:pPr>
              <w:widowControl/>
              <w:jc w:val="center"/>
              <w:rPr>
                <w:rFonts w:ascii="Times New Roman" w:eastAsia="MS Mincho" w:hAnsi="Times New Roman" w:cs="Times New Roman"/>
                <w:sz w:val="20"/>
                <w:szCs w:val="20"/>
              </w:rPr>
            </w:pPr>
            <w:r w:rsidRPr="0074218E">
              <w:rPr>
                <w:rFonts w:ascii="Times New Roman" w:eastAsia="MS Mincho" w:hAnsi="Times New Roman" w:cs="Times New Roman"/>
                <w:sz w:val="20"/>
                <w:szCs w:val="20"/>
              </w:rPr>
              <w:t> </w:t>
            </w:r>
          </w:p>
        </w:tc>
        <w:tc>
          <w:tcPr>
            <w:tcW w:w="2193" w:type="dxa"/>
            <w:tcBorders>
              <w:bottom w:val="single" w:sz="4" w:space="0" w:color="auto"/>
              <w:right w:val="single" w:sz="4" w:space="0" w:color="auto"/>
            </w:tcBorders>
            <w:shd w:val="clear" w:color="auto" w:fill="auto"/>
            <w:vAlign w:val="center"/>
          </w:tcPr>
          <w:p w:rsidR="00744513" w:rsidRPr="0074218E" w:rsidRDefault="00744513" w:rsidP="00733706">
            <w:pPr>
              <w:widowControl/>
              <w:jc w:val="center"/>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Critical Value        </w:t>
            </w:r>
            <w:proofErr w:type="gramStart"/>
            <w:r w:rsidRPr="0074218E">
              <w:rPr>
                <w:rFonts w:ascii="Times New Roman" w:eastAsia="MS Mincho" w:hAnsi="Times New Roman" w:cs="Times New Roman"/>
                <w:sz w:val="20"/>
                <w:szCs w:val="20"/>
              </w:rPr>
              <w:t xml:space="preserve">   (</w:t>
            </w:r>
            <w:proofErr w:type="gramEnd"/>
            <w:r w:rsidRPr="0074218E">
              <w:rPr>
                <w:rFonts w:ascii="Times New Roman" w:eastAsia="MS Mincho" w:hAnsi="Times New Roman" w:cs="Times New Roman"/>
                <w:sz w:val="20"/>
                <w:szCs w:val="20"/>
              </w:rPr>
              <w:t>at 5% Level)</w:t>
            </w:r>
          </w:p>
        </w:tc>
      </w:tr>
      <w:tr w:rsidR="00744513" w:rsidRPr="0074218E" w:rsidTr="00733706">
        <w:trPr>
          <w:trHeight w:val="255"/>
        </w:trPr>
        <w:tc>
          <w:tcPr>
            <w:tcW w:w="3045" w:type="dxa"/>
            <w:tcBorders>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Kazakh </w:t>
            </w:r>
            <w:proofErr w:type="spellStart"/>
            <w:r w:rsidRPr="0074218E">
              <w:rPr>
                <w:rFonts w:ascii="Times New Roman" w:eastAsia="MS Mincho" w:hAnsi="Times New Roman" w:cs="Times New Roman"/>
                <w:sz w:val="20"/>
                <w:szCs w:val="20"/>
              </w:rPr>
              <w:t>tenge</w:t>
            </w:r>
            <w:proofErr w:type="spellEnd"/>
            <w:r w:rsidRPr="0074218E">
              <w:rPr>
                <w:rFonts w:ascii="Times New Roman" w:eastAsia="MS Mincho" w:hAnsi="Times New Roman" w:cs="Times New Roman"/>
                <w:sz w:val="20"/>
                <w:szCs w:val="20"/>
              </w:rPr>
              <w:t xml:space="preserve">, </w:t>
            </w:r>
            <w:proofErr w:type="spellStart"/>
            <w:r w:rsidRPr="0074218E">
              <w:rPr>
                <w:rFonts w:ascii="Times New Roman" w:eastAsia="MS Mincho" w:hAnsi="Times New Roman" w:cs="Times New Roman"/>
                <w:sz w:val="20"/>
                <w:szCs w:val="20"/>
              </w:rPr>
              <w:t>LnKZT</w:t>
            </w:r>
            <w:proofErr w:type="spellEnd"/>
          </w:p>
        </w:tc>
        <w:tc>
          <w:tcPr>
            <w:tcW w:w="460" w:type="dxa"/>
            <w:tcBorders>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-13.0117</w:t>
            </w:r>
          </w:p>
        </w:tc>
        <w:tc>
          <w:tcPr>
            <w:tcW w:w="500" w:type="dxa"/>
            <w:tcBorders>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r w:rsidR="00744513" w:rsidRPr="0074218E" w:rsidTr="00733706">
        <w:trPr>
          <w:trHeight w:val="255"/>
        </w:trPr>
        <w:tc>
          <w:tcPr>
            <w:tcW w:w="3045" w:type="dxa"/>
            <w:tcBorders>
              <w:top w:val="nil"/>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Kyrgyz </w:t>
            </w:r>
            <w:proofErr w:type="spellStart"/>
            <w:r w:rsidRPr="0074218E">
              <w:rPr>
                <w:rFonts w:ascii="Times New Roman" w:eastAsia="MS Mincho" w:hAnsi="Times New Roman" w:cs="Times New Roman"/>
                <w:sz w:val="20"/>
                <w:szCs w:val="20"/>
              </w:rPr>
              <w:t>som</w:t>
            </w:r>
            <w:proofErr w:type="spellEnd"/>
            <w:r w:rsidRPr="0074218E">
              <w:rPr>
                <w:rFonts w:ascii="Times New Roman" w:eastAsia="MS Mincho" w:hAnsi="Times New Roman" w:cs="Times New Roman"/>
                <w:sz w:val="20"/>
                <w:szCs w:val="20"/>
              </w:rPr>
              <w:t xml:space="preserve">, </w:t>
            </w:r>
            <w:proofErr w:type="spellStart"/>
            <w:r w:rsidRPr="0074218E">
              <w:rPr>
                <w:rFonts w:ascii="Times New Roman" w:eastAsia="MS Mincho" w:hAnsi="Times New Roman" w:cs="Times New Roman"/>
                <w:sz w:val="20"/>
                <w:szCs w:val="20"/>
              </w:rPr>
              <w:t>LnKGS</w:t>
            </w:r>
            <w:proofErr w:type="spellEnd"/>
          </w:p>
        </w:tc>
        <w:tc>
          <w:tcPr>
            <w:tcW w:w="46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top w:val="nil"/>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-14.3847</w:t>
            </w:r>
          </w:p>
        </w:tc>
        <w:tc>
          <w:tcPr>
            <w:tcW w:w="50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top w:val="nil"/>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r w:rsidR="00744513" w:rsidRPr="0074218E" w:rsidTr="00733706">
        <w:trPr>
          <w:trHeight w:val="255"/>
        </w:trPr>
        <w:tc>
          <w:tcPr>
            <w:tcW w:w="3045" w:type="dxa"/>
            <w:tcBorders>
              <w:top w:val="nil"/>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Tajik somoni, </w:t>
            </w:r>
            <w:proofErr w:type="spellStart"/>
            <w:r w:rsidRPr="0074218E">
              <w:rPr>
                <w:rFonts w:ascii="Times New Roman" w:eastAsia="MS Mincho" w:hAnsi="Times New Roman" w:cs="Times New Roman"/>
                <w:sz w:val="20"/>
                <w:szCs w:val="20"/>
              </w:rPr>
              <w:t>LnTAD</w:t>
            </w:r>
            <w:proofErr w:type="spellEnd"/>
          </w:p>
        </w:tc>
        <w:tc>
          <w:tcPr>
            <w:tcW w:w="46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top w:val="nil"/>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-10.3947</w:t>
            </w:r>
          </w:p>
        </w:tc>
        <w:tc>
          <w:tcPr>
            <w:tcW w:w="50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top w:val="nil"/>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r w:rsidR="00744513" w:rsidRPr="0074218E" w:rsidTr="00733706">
        <w:trPr>
          <w:trHeight w:val="255"/>
        </w:trPr>
        <w:tc>
          <w:tcPr>
            <w:tcW w:w="3045" w:type="dxa"/>
            <w:tcBorders>
              <w:top w:val="nil"/>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Uzbek </w:t>
            </w:r>
            <w:proofErr w:type="spellStart"/>
            <w:r w:rsidRPr="0074218E">
              <w:rPr>
                <w:rFonts w:ascii="Times New Roman" w:eastAsia="MS Mincho" w:hAnsi="Times New Roman" w:cs="Times New Roman"/>
                <w:sz w:val="20"/>
                <w:szCs w:val="20"/>
              </w:rPr>
              <w:t>som</w:t>
            </w:r>
            <w:proofErr w:type="spellEnd"/>
            <w:r w:rsidRPr="0074218E">
              <w:rPr>
                <w:rFonts w:ascii="Times New Roman" w:eastAsia="MS Mincho" w:hAnsi="Times New Roman" w:cs="Times New Roman"/>
                <w:sz w:val="20"/>
                <w:szCs w:val="20"/>
              </w:rPr>
              <w:t xml:space="preserve">, </w:t>
            </w:r>
            <w:proofErr w:type="spellStart"/>
            <w:r w:rsidRPr="0074218E">
              <w:rPr>
                <w:rFonts w:ascii="Times New Roman" w:eastAsia="MS Mincho" w:hAnsi="Times New Roman" w:cs="Times New Roman"/>
                <w:sz w:val="20"/>
                <w:szCs w:val="20"/>
              </w:rPr>
              <w:t>LnUZS</w:t>
            </w:r>
            <w:proofErr w:type="spellEnd"/>
          </w:p>
        </w:tc>
        <w:tc>
          <w:tcPr>
            <w:tcW w:w="46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top w:val="nil"/>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-14.7175</w:t>
            </w:r>
          </w:p>
        </w:tc>
        <w:tc>
          <w:tcPr>
            <w:tcW w:w="50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top w:val="nil"/>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r w:rsidR="00744513" w:rsidRPr="0074218E" w:rsidTr="00733706">
        <w:trPr>
          <w:trHeight w:val="255"/>
        </w:trPr>
        <w:tc>
          <w:tcPr>
            <w:tcW w:w="3045" w:type="dxa"/>
            <w:tcBorders>
              <w:top w:val="nil"/>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US dollar, </w:t>
            </w:r>
            <w:proofErr w:type="spellStart"/>
            <w:r w:rsidRPr="0074218E">
              <w:rPr>
                <w:rFonts w:ascii="Times New Roman" w:eastAsia="MS Mincho" w:hAnsi="Times New Roman" w:cs="Times New Roman"/>
                <w:sz w:val="20"/>
                <w:szCs w:val="20"/>
              </w:rPr>
              <w:t>LnUSD</w:t>
            </w:r>
            <w:proofErr w:type="spellEnd"/>
          </w:p>
        </w:tc>
        <w:tc>
          <w:tcPr>
            <w:tcW w:w="46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top w:val="nil"/>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-12.4766</w:t>
            </w:r>
          </w:p>
        </w:tc>
        <w:tc>
          <w:tcPr>
            <w:tcW w:w="50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top w:val="nil"/>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r w:rsidR="00744513" w:rsidRPr="0074218E" w:rsidTr="00733706">
        <w:trPr>
          <w:trHeight w:val="255"/>
        </w:trPr>
        <w:tc>
          <w:tcPr>
            <w:tcW w:w="3045" w:type="dxa"/>
            <w:tcBorders>
              <w:top w:val="nil"/>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Russian ruble, </w:t>
            </w:r>
            <w:proofErr w:type="spellStart"/>
            <w:r w:rsidRPr="0074218E">
              <w:rPr>
                <w:rFonts w:ascii="Times New Roman" w:eastAsia="MS Mincho" w:hAnsi="Times New Roman" w:cs="Times New Roman"/>
                <w:sz w:val="20"/>
                <w:szCs w:val="20"/>
              </w:rPr>
              <w:t>LnRUB</w:t>
            </w:r>
            <w:proofErr w:type="spellEnd"/>
          </w:p>
        </w:tc>
        <w:tc>
          <w:tcPr>
            <w:tcW w:w="46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top w:val="nil"/>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-6.0638</w:t>
            </w:r>
          </w:p>
        </w:tc>
        <w:tc>
          <w:tcPr>
            <w:tcW w:w="50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top w:val="nil"/>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-2.8739</w:t>
            </w:r>
          </w:p>
        </w:tc>
      </w:tr>
      <w:tr w:rsidR="00744513" w:rsidRPr="0074218E" w:rsidTr="00733706">
        <w:trPr>
          <w:trHeight w:val="255"/>
        </w:trPr>
        <w:tc>
          <w:tcPr>
            <w:tcW w:w="3045" w:type="dxa"/>
            <w:tcBorders>
              <w:top w:val="nil"/>
              <w:left w:val="single" w:sz="4" w:space="0" w:color="auto"/>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Japanese yen, </w:t>
            </w:r>
            <w:proofErr w:type="spellStart"/>
            <w:r w:rsidRPr="0074218E">
              <w:rPr>
                <w:rFonts w:ascii="Times New Roman" w:eastAsia="MS Mincho" w:hAnsi="Times New Roman" w:cs="Times New Roman"/>
                <w:sz w:val="20"/>
                <w:szCs w:val="20"/>
              </w:rPr>
              <w:t>LnJPY</w:t>
            </w:r>
            <w:proofErr w:type="spellEnd"/>
          </w:p>
        </w:tc>
        <w:tc>
          <w:tcPr>
            <w:tcW w:w="46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1672" w:type="dxa"/>
            <w:tcBorders>
              <w:top w:val="nil"/>
              <w:bottom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-11.6512</w:t>
            </w:r>
          </w:p>
        </w:tc>
        <w:tc>
          <w:tcPr>
            <w:tcW w:w="500" w:type="dxa"/>
            <w:tcBorders>
              <w:top w:val="nil"/>
              <w:bottom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p>
        </w:tc>
        <w:tc>
          <w:tcPr>
            <w:tcW w:w="2193" w:type="dxa"/>
            <w:tcBorders>
              <w:top w:val="nil"/>
              <w:bottom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r w:rsidR="00744513" w:rsidRPr="0074218E" w:rsidTr="00733706">
        <w:trPr>
          <w:trHeight w:val="255"/>
        </w:trPr>
        <w:tc>
          <w:tcPr>
            <w:tcW w:w="3045" w:type="dxa"/>
            <w:tcBorders>
              <w:top w:val="nil"/>
              <w:left w:val="single" w:sz="4" w:space="0" w:color="auto"/>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xml:space="preserve">The </w:t>
            </w:r>
            <w:r>
              <w:rPr>
                <w:rFonts w:ascii="Times New Roman" w:eastAsia="MS Mincho" w:hAnsi="Times New Roman" w:cs="Times New Roman"/>
                <w:sz w:val="20"/>
                <w:szCs w:val="20"/>
              </w:rPr>
              <w:t>euro</w:t>
            </w:r>
            <w:r w:rsidRPr="0074218E">
              <w:rPr>
                <w:rFonts w:ascii="Times New Roman" w:eastAsia="MS Mincho" w:hAnsi="Times New Roman" w:cs="Times New Roman"/>
                <w:sz w:val="20"/>
                <w:szCs w:val="20"/>
              </w:rPr>
              <w:t xml:space="preserve">, </w:t>
            </w:r>
            <w:proofErr w:type="spellStart"/>
            <w:r w:rsidRPr="0074218E">
              <w:rPr>
                <w:rFonts w:ascii="Times New Roman" w:eastAsia="MS Mincho" w:hAnsi="Times New Roman" w:cs="Times New Roman"/>
                <w:sz w:val="20"/>
                <w:szCs w:val="20"/>
              </w:rPr>
              <w:t>LnEUR</w:t>
            </w:r>
            <w:proofErr w:type="spellEnd"/>
          </w:p>
        </w:tc>
        <w:tc>
          <w:tcPr>
            <w:tcW w:w="460" w:type="dxa"/>
            <w:tcBorders>
              <w:top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w:t>
            </w:r>
          </w:p>
        </w:tc>
        <w:tc>
          <w:tcPr>
            <w:tcW w:w="1672" w:type="dxa"/>
            <w:tcBorders>
              <w:top w:val="nil"/>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-13.1483</w:t>
            </w:r>
          </w:p>
        </w:tc>
        <w:tc>
          <w:tcPr>
            <w:tcW w:w="500" w:type="dxa"/>
            <w:tcBorders>
              <w:top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20"/>
                <w:szCs w:val="20"/>
              </w:rPr>
            </w:pPr>
            <w:r w:rsidRPr="0074218E">
              <w:rPr>
                <w:rFonts w:ascii="Times New Roman" w:eastAsia="MS Mincho" w:hAnsi="Times New Roman" w:cs="Times New Roman"/>
                <w:sz w:val="20"/>
                <w:szCs w:val="20"/>
              </w:rPr>
              <w:t> </w:t>
            </w:r>
          </w:p>
        </w:tc>
        <w:tc>
          <w:tcPr>
            <w:tcW w:w="2193" w:type="dxa"/>
            <w:tcBorders>
              <w:top w:val="nil"/>
              <w:right w:val="single" w:sz="4" w:space="0" w:color="auto"/>
            </w:tcBorders>
            <w:shd w:val="clear" w:color="auto" w:fill="auto"/>
            <w:noWrap/>
            <w:vAlign w:val="bottom"/>
          </w:tcPr>
          <w:p w:rsidR="00744513" w:rsidRPr="0074218E" w:rsidRDefault="00744513" w:rsidP="00733706">
            <w:pPr>
              <w:widowControl/>
              <w:jc w:val="right"/>
              <w:rPr>
                <w:rFonts w:ascii="Times New Roman" w:eastAsia="MS Mincho" w:hAnsi="Times New Roman" w:cs="Times New Roman"/>
                <w:sz w:val="20"/>
                <w:szCs w:val="20"/>
              </w:rPr>
            </w:pPr>
            <w:r w:rsidRPr="0074218E">
              <w:rPr>
                <w:rFonts w:ascii="Times New Roman" w:eastAsia="MS Mincho" w:hAnsi="Times New Roman" w:cs="Times New Roman"/>
                <w:sz w:val="20"/>
                <w:szCs w:val="20"/>
              </w:rPr>
              <w:t>-2.8738</w:t>
            </w:r>
          </w:p>
        </w:tc>
      </w:tr>
    </w:tbl>
    <w:p w:rsidR="00744513" w:rsidRPr="0074218E" w:rsidRDefault="00744513" w:rsidP="00744513">
      <w:pPr>
        <w:rPr>
          <w:rFonts w:ascii="Times New Roman" w:hAnsi="Times New Roman" w:cs="Times New Roman"/>
          <w:color w:val="000000"/>
          <w:sz w:val="24"/>
        </w:rPr>
      </w:pPr>
    </w:p>
    <w:p w:rsidR="00744513" w:rsidRPr="0074218E" w:rsidRDefault="00744513" w:rsidP="00744513">
      <w:pPr>
        <w:jc w:val="center"/>
        <w:rPr>
          <w:rFonts w:ascii="Times New Roman" w:hAnsi="Times New Roman" w:cs="Times New Roman"/>
          <w:color w:val="000000"/>
          <w:sz w:val="24"/>
        </w:rPr>
      </w:pPr>
      <w:r w:rsidRPr="0074218E">
        <w:rPr>
          <w:rFonts w:ascii="Times New Roman" w:hAnsi="Times New Roman" w:cs="Times New Roman"/>
          <w:color w:val="000000"/>
          <w:sz w:val="24"/>
        </w:rPr>
        <w:t>Table 7</w:t>
      </w:r>
      <w:r>
        <w:rPr>
          <w:rFonts w:ascii="Times New Roman" w:hAnsi="Times New Roman" w:cs="Times New Roman"/>
          <w:color w:val="000000"/>
          <w:sz w:val="24"/>
        </w:rPr>
        <w:t>:</w:t>
      </w:r>
      <w:r w:rsidRPr="0074218E">
        <w:rPr>
          <w:rFonts w:ascii="Times New Roman" w:hAnsi="Times New Roman" w:cs="Times New Roman"/>
          <w:color w:val="000000"/>
          <w:sz w:val="24"/>
        </w:rPr>
        <w:t xml:space="preserve"> ADF statistics for unit root testing of first differences.</w:t>
      </w:r>
    </w:p>
    <w:p w:rsidR="00744513" w:rsidRPr="0074218E" w:rsidRDefault="00744513" w:rsidP="00744513">
      <w:pPr>
        <w:rPr>
          <w:rFonts w:ascii="Times New Roman" w:hAnsi="Times New Roman" w:cs="Times New Roman"/>
          <w:color w:val="000000"/>
          <w:sz w:val="24"/>
        </w:rPr>
      </w:pPr>
    </w:p>
    <w:p w:rsidR="00744513" w:rsidRPr="0074218E"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We also examine whether a long-run equilibrium relationship exists among variables</w:t>
      </w:r>
      <w:r>
        <w:rPr>
          <w:rFonts w:ascii="Times New Roman" w:hAnsi="Times New Roman" w:cs="Times New Roman"/>
          <w:color w:val="000000"/>
          <w:sz w:val="24"/>
        </w:rPr>
        <w:t xml:space="preserve"> (which may be nonstationary)</w:t>
      </w:r>
      <w:r w:rsidRPr="0074218E">
        <w:rPr>
          <w:rFonts w:ascii="Times New Roman" w:hAnsi="Times New Roman" w:cs="Times New Roman"/>
          <w:color w:val="000000"/>
          <w:sz w:val="24"/>
        </w:rPr>
        <w:t xml:space="preserve"> in the Frankel and Wei regression model for each currency. Table 8 presents Johansen’s cointegration test results for Central Asian currencies. In each </w:t>
      </w:r>
      <w:r>
        <w:rPr>
          <w:rFonts w:ascii="Times New Roman" w:hAnsi="Times New Roman" w:cs="Times New Roman"/>
          <w:color w:val="000000"/>
          <w:sz w:val="24"/>
        </w:rPr>
        <w:t>national currency</w:t>
      </w:r>
      <w:r w:rsidRPr="0074218E">
        <w:rPr>
          <w:rFonts w:ascii="Times New Roman" w:hAnsi="Times New Roman" w:cs="Times New Roman"/>
          <w:color w:val="000000"/>
          <w:sz w:val="24"/>
        </w:rPr>
        <w:t>, the eigenvalue trace statistic rejects the null hypothesis of no cointegration between the respective national currency and major currencies at the 5% level of significance.</w:t>
      </w:r>
      <w:r>
        <w:rPr>
          <w:rFonts w:ascii="Times New Roman" w:hAnsi="Times New Roman" w:cs="Times New Roman"/>
          <w:color w:val="000000"/>
          <w:sz w:val="24"/>
        </w:rPr>
        <w:t xml:space="preserve"> (The variables are in first differences.) </w:t>
      </w:r>
      <w:r w:rsidRPr="0074218E">
        <w:rPr>
          <w:rFonts w:ascii="Times New Roman" w:hAnsi="Times New Roman" w:cs="Times New Roman"/>
          <w:color w:val="000000"/>
          <w:sz w:val="24"/>
        </w:rPr>
        <w:t xml:space="preserve">This suggests a long-run relationship between Central Asian currencies and major currencies. </w:t>
      </w:r>
    </w:p>
    <w:p w:rsidR="00744513" w:rsidRPr="0074218E" w:rsidRDefault="00744513" w:rsidP="00744513">
      <w:pPr>
        <w:rPr>
          <w:rFonts w:ascii="Times New Roman" w:hAnsi="Times New Roman" w:cs="Times New Roman"/>
          <w:color w:val="000000"/>
          <w:sz w:val="24"/>
        </w:rPr>
      </w:pPr>
    </w:p>
    <w:tbl>
      <w:tblPr>
        <w:tblW w:w="9361" w:type="dxa"/>
        <w:tblInd w:w="93" w:type="dxa"/>
        <w:tblLook w:val="0000" w:firstRow="0" w:lastRow="0" w:firstColumn="0" w:lastColumn="0" w:noHBand="0" w:noVBand="0"/>
      </w:tblPr>
      <w:tblGrid>
        <w:gridCol w:w="1114"/>
        <w:gridCol w:w="261"/>
        <w:gridCol w:w="1054"/>
        <w:gridCol w:w="828"/>
        <w:gridCol w:w="261"/>
        <w:gridCol w:w="951"/>
        <w:gridCol w:w="828"/>
        <w:gridCol w:w="261"/>
        <w:gridCol w:w="951"/>
        <w:gridCol w:w="828"/>
        <w:gridCol w:w="261"/>
        <w:gridCol w:w="951"/>
        <w:gridCol w:w="828"/>
      </w:tblGrid>
      <w:tr w:rsidR="00744513" w:rsidRPr="0074218E" w:rsidTr="00733706">
        <w:trPr>
          <w:trHeight w:val="255"/>
        </w:trPr>
        <w:tc>
          <w:tcPr>
            <w:tcW w:w="1114" w:type="dxa"/>
            <w:vMerge w:val="restart"/>
            <w:tcBorders>
              <w:top w:val="single" w:sz="4" w:space="0" w:color="auto"/>
              <w:left w:val="single" w:sz="4" w:space="0" w:color="auto"/>
              <w:bottom w:val="single" w:sz="4" w:space="0" w:color="000000"/>
              <w:right w:val="nil"/>
            </w:tcBorders>
            <w:shd w:val="clear" w:color="auto" w:fill="auto"/>
            <w:vAlign w:val="center"/>
          </w:tcPr>
          <w:p w:rsidR="00744513" w:rsidRPr="008D4CC9" w:rsidRDefault="00744513" w:rsidP="00733706">
            <w:pPr>
              <w:widowControl/>
              <w:jc w:val="center"/>
              <w:rPr>
                <w:rFonts w:ascii="Times New Roman" w:eastAsia="MS Mincho" w:hAnsi="Times New Roman" w:cs="Times New Roman"/>
                <w:sz w:val="18"/>
                <w:szCs w:val="18"/>
              </w:rPr>
            </w:pPr>
            <w:proofErr w:type="spellStart"/>
            <w:r>
              <w:rPr>
                <w:rFonts w:ascii="Times New Roman" w:eastAsia="MS Mincho" w:hAnsi="Times New Roman" w:cs="Times New Roman"/>
                <w:sz w:val="18"/>
                <w:szCs w:val="18"/>
              </w:rPr>
              <w:t>Cointeg</w:t>
            </w:r>
            <w:proofErr w:type="spellEnd"/>
            <w:r>
              <w:rPr>
                <w:rFonts w:ascii="Times New Roman" w:eastAsia="MS Mincho" w:hAnsi="Times New Roman" w:cs="Times New Roman"/>
                <w:sz w:val="18"/>
                <w:szCs w:val="18"/>
              </w:rPr>
              <w:t>.</w:t>
            </w:r>
            <w:r w:rsidRPr="008D4CC9">
              <w:rPr>
                <w:rFonts w:ascii="Times New Roman" w:eastAsia="MS Mincho" w:hAnsi="Times New Roman" w:cs="Times New Roman"/>
                <w:sz w:val="18"/>
                <w:szCs w:val="18"/>
              </w:rPr>
              <w:t xml:space="preserve"> Vectors</w:t>
            </w:r>
          </w:p>
        </w:tc>
        <w:tc>
          <w:tcPr>
            <w:tcW w:w="257" w:type="dxa"/>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1882" w:type="dxa"/>
            <w:gridSpan w:val="2"/>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 xml:space="preserve">The Kazakh </w:t>
            </w:r>
            <w:proofErr w:type="spellStart"/>
            <w:r w:rsidRPr="008D4CC9">
              <w:rPr>
                <w:rFonts w:ascii="Times New Roman" w:eastAsia="MS Mincho" w:hAnsi="Times New Roman" w:cs="Times New Roman"/>
                <w:sz w:val="18"/>
                <w:szCs w:val="18"/>
              </w:rPr>
              <w:t>Tenge</w:t>
            </w:r>
            <w:proofErr w:type="spellEnd"/>
          </w:p>
        </w:tc>
        <w:tc>
          <w:tcPr>
            <w:tcW w:w="257" w:type="dxa"/>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1779" w:type="dxa"/>
            <w:gridSpan w:val="2"/>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The Kyrgyz Sum</w:t>
            </w:r>
          </w:p>
        </w:tc>
        <w:tc>
          <w:tcPr>
            <w:tcW w:w="257" w:type="dxa"/>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1779" w:type="dxa"/>
            <w:gridSpan w:val="2"/>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The Tajik Somoni</w:t>
            </w:r>
          </w:p>
        </w:tc>
        <w:tc>
          <w:tcPr>
            <w:tcW w:w="257" w:type="dxa"/>
            <w:tcBorders>
              <w:top w:val="single" w:sz="4" w:space="0" w:color="auto"/>
              <w:left w:val="nil"/>
              <w:bottom w:val="nil"/>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1779" w:type="dxa"/>
            <w:gridSpan w:val="2"/>
            <w:tcBorders>
              <w:top w:val="single" w:sz="4" w:space="0" w:color="auto"/>
              <w:left w:val="nil"/>
              <w:bottom w:val="nil"/>
              <w:right w:val="single" w:sz="4" w:space="0" w:color="000000"/>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 xml:space="preserve">The Uzbek </w:t>
            </w:r>
            <w:proofErr w:type="spellStart"/>
            <w:r w:rsidRPr="008D4CC9">
              <w:rPr>
                <w:rFonts w:ascii="Times New Roman" w:eastAsia="MS Mincho" w:hAnsi="Times New Roman" w:cs="Times New Roman"/>
                <w:sz w:val="18"/>
                <w:szCs w:val="18"/>
              </w:rPr>
              <w:t>Som</w:t>
            </w:r>
            <w:proofErr w:type="spellEnd"/>
          </w:p>
        </w:tc>
      </w:tr>
      <w:tr w:rsidR="00744513" w:rsidRPr="0074218E" w:rsidTr="00733706">
        <w:trPr>
          <w:trHeight w:val="597"/>
        </w:trPr>
        <w:tc>
          <w:tcPr>
            <w:tcW w:w="1114" w:type="dxa"/>
            <w:vMerge/>
            <w:tcBorders>
              <w:top w:val="single" w:sz="4" w:space="0" w:color="auto"/>
              <w:left w:val="single" w:sz="4" w:space="0" w:color="auto"/>
              <w:bottom w:val="single" w:sz="4" w:space="0" w:color="000000"/>
              <w:right w:val="nil"/>
            </w:tcBorders>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257"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1054"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roofErr w:type="spellStart"/>
            <w:r w:rsidRPr="008D4CC9">
              <w:rPr>
                <w:rFonts w:ascii="Times New Roman" w:eastAsia="MS Mincho" w:hAnsi="Times New Roman" w:cs="Times New Roman"/>
                <w:sz w:val="18"/>
                <w:szCs w:val="18"/>
              </w:rPr>
              <w:t>Eigenval</w:t>
            </w:r>
            <w:proofErr w:type="spellEnd"/>
            <w:r>
              <w:rPr>
                <w:rFonts w:ascii="Times New Roman" w:eastAsia="MS Mincho" w:hAnsi="Times New Roman" w:cs="Times New Roman"/>
                <w:sz w:val="18"/>
                <w:szCs w:val="18"/>
              </w:rPr>
              <w:t>.</w:t>
            </w:r>
          </w:p>
        </w:tc>
        <w:tc>
          <w:tcPr>
            <w:tcW w:w="828" w:type="dxa"/>
            <w:tcBorders>
              <w:top w:val="nil"/>
              <w:left w:val="nil"/>
              <w:bottom w:val="single" w:sz="4" w:space="0" w:color="auto"/>
              <w:right w:val="nil"/>
            </w:tcBorders>
            <w:shd w:val="clear" w:color="auto" w:fill="auto"/>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Trace Statistic</w:t>
            </w:r>
          </w:p>
        </w:tc>
        <w:tc>
          <w:tcPr>
            <w:tcW w:w="257"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951"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roofErr w:type="spellStart"/>
            <w:r w:rsidRPr="008D4CC9">
              <w:rPr>
                <w:rFonts w:ascii="Times New Roman" w:eastAsia="MS Mincho" w:hAnsi="Times New Roman" w:cs="Times New Roman"/>
                <w:sz w:val="18"/>
                <w:szCs w:val="18"/>
              </w:rPr>
              <w:t>Eigenval</w:t>
            </w:r>
            <w:proofErr w:type="spellEnd"/>
            <w:r>
              <w:rPr>
                <w:rFonts w:ascii="Times New Roman" w:eastAsia="MS Mincho" w:hAnsi="Times New Roman" w:cs="Times New Roman"/>
                <w:sz w:val="18"/>
                <w:szCs w:val="18"/>
              </w:rPr>
              <w:t>.</w:t>
            </w:r>
          </w:p>
        </w:tc>
        <w:tc>
          <w:tcPr>
            <w:tcW w:w="828" w:type="dxa"/>
            <w:tcBorders>
              <w:top w:val="nil"/>
              <w:left w:val="nil"/>
              <w:bottom w:val="single" w:sz="4" w:space="0" w:color="auto"/>
              <w:right w:val="nil"/>
            </w:tcBorders>
            <w:shd w:val="clear" w:color="auto" w:fill="auto"/>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Trace Statistic</w:t>
            </w:r>
          </w:p>
        </w:tc>
        <w:tc>
          <w:tcPr>
            <w:tcW w:w="257"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951"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roofErr w:type="spellStart"/>
            <w:r w:rsidRPr="008D4CC9">
              <w:rPr>
                <w:rFonts w:ascii="Times New Roman" w:eastAsia="MS Mincho" w:hAnsi="Times New Roman" w:cs="Times New Roman"/>
                <w:sz w:val="18"/>
                <w:szCs w:val="18"/>
              </w:rPr>
              <w:t>Eigenval</w:t>
            </w:r>
            <w:proofErr w:type="spellEnd"/>
            <w:r>
              <w:rPr>
                <w:rFonts w:ascii="Times New Roman" w:eastAsia="MS Mincho" w:hAnsi="Times New Roman" w:cs="Times New Roman"/>
                <w:sz w:val="18"/>
                <w:szCs w:val="18"/>
              </w:rPr>
              <w:t>.</w:t>
            </w:r>
          </w:p>
        </w:tc>
        <w:tc>
          <w:tcPr>
            <w:tcW w:w="828" w:type="dxa"/>
            <w:tcBorders>
              <w:top w:val="nil"/>
              <w:left w:val="nil"/>
              <w:bottom w:val="single" w:sz="4" w:space="0" w:color="auto"/>
              <w:right w:val="nil"/>
            </w:tcBorders>
            <w:shd w:val="clear" w:color="auto" w:fill="auto"/>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Trace Statistic</w:t>
            </w:r>
          </w:p>
        </w:tc>
        <w:tc>
          <w:tcPr>
            <w:tcW w:w="257"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
        </w:tc>
        <w:tc>
          <w:tcPr>
            <w:tcW w:w="951" w:type="dxa"/>
            <w:tcBorders>
              <w:top w:val="nil"/>
              <w:left w:val="nil"/>
              <w:bottom w:val="single" w:sz="4" w:space="0" w:color="auto"/>
              <w:right w:val="nil"/>
            </w:tcBorders>
            <w:shd w:val="clear" w:color="auto" w:fill="auto"/>
            <w:noWrap/>
            <w:vAlign w:val="center"/>
          </w:tcPr>
          <w:p w:rsidR="00744513" w:rsidRPr="008D4CC9" w:rsidRDefault="00744513" w:rsidP="00733706">
            <w:pPr>
              <w:widowControl/>
              <w:jc w:val="center"/>
              <w:rPr>
                <w:rFonts w:ascii="Times New Roman" w:eastAsia="MS Mincho" w:hAnsi="Times New Roman" w:cs="Times New Roman"/>
                <w:sz w:val="18"/>
                <w:szCs w:val="18"/>
              </w:rPr>
            </w:pPr>
            <w:proofErr w:type="spellStart"/>
            <w:r w:rsidRPr="008D4CC9">
              <w:rPr>
                <w:rFonts w:ascii="Times New Roman" w:eastAsia="MS Mincho" w:hAnsi="Times New Roman" w:cs="Times New Roman"/>
                <w:sz w:val="18"/>
                <w:szCs w:val="18"/>
              </w:rPr>
              <w:t>Eigenval</w:t>
            </w:r>
            <w:proofErr w:type="spellEnd"/>
            <w:r>
              <w:rPr>
                <w:rFonts w:ascii="Times New Roman" w:eastAsia="MS Mincho" w:hAnsi="Times New Roman" w:cs="Times New Roman"/>
                <w:sz w:val="18"/>
                <w:szCs w:val="18"/>
              </w:rPr>
              <w:t>.</w:t>
            </w:r>
          </w:p>
        </w:tc>
        <w:tc>
          <w:tcPr>
            <w:tcW w:w="828" w:type="dxa"/>
            <w:tcBorders>
              <w:top w:val="nil"/>
              <w:left w:val="nil"/>
              <w:bottom w:val="single" w:sz="4" w:space="0" w:color="auto"/>
              <w:right w:val="single" w:sz="4" w:space="0" w:color="auto"/>
            </w:tcBorders>
            <w:shd w:val="clear" w:color="auto" w:fill="auto"/>
            <w:vAlign w:val="center"/>
          </w:tcPr>
          <w:p w:rsidR="00744513" w:rsidRPr="008D4CC9" w:rsidRDefault="00744513" w:rsidP="00733706">
            <w:pPr>
              <w:widowControl/>
              <w:jc w:val="center"/>
              <w:rPr>
                <w:rFonts w:ascii="Times New Roman" w:eastAsia="MS Mincho" w:hAnsi="Times New Roman" w:cs="Times New Roman"/>
                <w:sz w:val="18"/>
                <w:szCs w:val="18"/>
              </w:rPr>
            </w:pPr>
            <w:r w:rsidRPr="008D4CC9">
              <w:rPr>
                <w:rFonts w:ascii="Times New Roman" w:eastAsia="MS Mincho" w:hAnsi="Times New Roman" w:cs="Times New Roman"/>
                <w:sz w:val="18"/>
                <w:szCs w:val="18"/>
              </w:rPr>
              <w:t>Trace Statistic</w:t>
            </w:r>
          </w:p>
        </w:tc>
      </w:tr>
      <w:tr w:rsidR="00744513" w:rsidRPr="0074218E" w:rsidTr="00733706">
        <w:trPr>
          <w:trHeight w:val="240"/>
        </w:trPr>
        <w:tc>
          <w:tcPr>
            <w:tcW w:w="1114" w:type="dxa"/>
            <w:tcBorders>
              <w:top w:val="nil"/>
              <w:left w:val="single" w:sz="4" w:space="0" w:color="auto"/>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1054"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828" w:type="dxa"/>
            <w:tcBorders>
              <w:top w:val="nil"/>
              <w:left w:val="nil"/>
              <w:bottom w:val="nil"/>
              <w:right w:val="single" w:sz="4" w:space="0" w:color="auto"/>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r>
      <w:tr w:rsidR="00744513" w:rsidRPr="0074218E" w:rsidTr="00733706">
        <w:trPr>
          <w:trHeight w:val="240"/>
        </w:trPr>
        <w:tc>
          <w:tcPr>
            <w:tcW w:w="1114" w:type="dxa"/>
            <w:tcBorders>
              <w:top w:val="nil"/>
              <w:left w:val="single" w:sz="4" w:space="0" w:color="auto"/>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None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1054"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0.2706</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205.385</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0.2609</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201.59</w:t>
            </w:r>
            <w:r>
              <w:rPr>
                <w:rFonts w:ascii="Times New Roman" w:eastAsia="MS Mincho" w:hAnsi="Times New Roman" w:cs="Times New Roman"/>
                <w:sz w:val="18"/>
                <w:szCs w:val="18"/>
              </w:rPr>
              <w:t>5</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0.2541</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219.379</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0.2287</w:t>
            </w:r>
          </w:p>
        </w:tc>
        <w:tc>
          <w:tcPr>
            <w:tcW w:w="828" w:type="dxa"/>
            <w:tcBorders>
              <w:top w:val="nil"/>
              <w:left w:val="nil"/>
              <w:bottom w:val="nil"/>
              <w:right w:val="single" w:sz="4" w:space="0" w:color="auto"/>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192.014</w:t>
            </w:r>
          </w:p>
        </w:tc>
      </w:tr>
      <w:tr w:rsidR="00744513" w:rsidRPr="0074218E" w:rsidTr="00733706">
        <w:trPr>
          <w:trHeight w:val="240"/>
        </w:trPr>
        <w:tc>
          <w:tcPr>
            <w:tcW w:w="1114" w:type="dxa"/>
            <w:tcBorders>
              <w:top w:val="nil"/>
              <w:left w:val="single" w:sz="4" w:space="0" w:color="auto"/>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At most 1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1054"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0.2139</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Pr>
                <w:rFonts w:ascii="Times New Roman" w:eastAsia="MS Mincho" w:hAnsi="Times New Roman" w:cs="Times New Roman"/>
                <w:sz w:val="18"/>
                <w:szCs w:val="18"/>
              </w:rPr>
              <w:t>133.433</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0.1973</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132.675</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0.2241</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Pr>
                <w:rFonts w:ascii="Times New Roman" w:eastAsia="MS Mincho" w:hAnsi="Times New Roman" w:cs="Times New Roman"/>
                <w:sz w:val="18"/>
                <w:szCs w:val="18"/>
              </w:rPr>
              <w:t>152.546</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0.2096</w:t>
            </w:r>
          </w:p>
        </w:tc>
        <w:tc>
          <w:tcPr>
            <w:tcW w:w="828" w:type="dxa"/>
            <w:tcBorders>
              <w:top w:val="nil"/>
              <w:left w:val="nil"/>
              <w:bottom w:val="nil"/>
              <w:right w:val="single" w:sz="4" w:space="0" w:color="auto"/>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132.793</w:t>
            </w:r>
          </w:p>
        </w:tc>
      </w:tr>
      <w:tr w:rsidR="00744513" w:rsidRPr="0074218E" w:rsidTr="00733706">
        <w:trPr>
          <w:trHeight w:val="240"/>
        </w:trPr>
        <w:tc>
          <w:tcPr>
            <w:tcW w:w="1114" w:type="dxa"/>
            <w:tcBorders>
              <w:top w:val="nil"/>
              <w:left w:val="single" w:sz="4" w:space="0" w:color="auto"/>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At most 2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1054"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0.1374</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78.55</w:t>
            </w:r>
            <w:r>
              <w:rPr>
                <w:rFonts w:ascii="Times New Roman" w:eastAsia="MS Mincho" w:hAnsi="Times New Roman" w:cs="Times New Roman"/>
                <w:sz w:val="18"/>
                <w:szCs w:val="18"/>
              </w:rPr>
              <w:t>3</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0.1564</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82.55</w:t>
            </w:r>
            <w:r>
              <w:rPr>
                <w:rFonts w:ascii="Times New Roman" w:eastAsia="MS Mincho" w:hAnsi="Times New Roman" w:cs="Times New Roman"/>
                <w:sz w:val="18"/>
                <w:szCs w:val="18"/>
              </w:rPr>
              <w:t>8</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0.1812</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94.69</w:t>
            </w:r>
            <w:r>
              <w:rPr>
                <w:rFonts w:ascii="Times New Roman" w:eastAsia="MS Mincho" w:hAnsi="Times New Roman" w:cs="Times New Roman"/>
                <w:sz w:val="18"/>
                <w:szCs w:val="18"/>
              </w:rPr>
              <w:t>1</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0.1355</w:t>
            </w:r>
          </w:p>
        </w:tc>
        <w:tc>
          <w:tcPr>
            <w:tcW w:w="828" w:type="dxa"/>
            <w:tcBorders>
              <w:top w:val="nil"/>
              <w:left w:val="nil"/>
              <w:bottom w:val="nil"/>
              <w:right w:val="single" w:sz="4" w:space="0" w:color="auto"/>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79.15</w:t>
            </w:r>
            <w:r>
              <w:rPr>
                <w:rFonts w:ascii="Times New Roman" w:eastAsia="MS Mincho" w:hAnsi="Times New Roman" w:cs="Times New Roman"/>
                <w:sz w:val="18"/>
                <w:szCs w:val="18"/>
              </w:rPr>
              <w:t>2</w:t>
            </w:r>
          </w:p>
        </w:tc>
      </w:tr>
      <w:tr w:rsidR="00744513" w:rsidRPr="0074218E" w:rsidTr="00733706">
        <w:trPr>
          <w:trHeight w:val="240"/>
        </w:trPr>
        <w:tc>
          <w:tcPr>
            <w:tcW w:w="1114" w:type="dxa"/>
            <w:tcBorders>
              <w:top w:val="nil"/>
              <w:left w:val="single" w:sz="4" w:space="0" w:color="auto"/>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At most 3 *</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1054"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0.1048</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44.8</w:t>
            </w:r>
            <w:r>
              <w:rPr>
                <w:rFonts w:ascii="Times New Roman" w:eastAsia="MS Mincho" w:hAnsi="Times New Roman" w:cs="Times New Roman"/>
                <w:sz w:val="18"/>
                <w:szCs w:val="18"/>
              </w:rPr>
              <w:t>60</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0.1243</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43.786</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0.1245</w:t>
            </w:r>
          </w:p>
        </w:tc>
        <w:tc>
          <w:tcPr>
            <w:tcW w:w="828"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49.099</w:t>
            </w:r>
          </w:p>
        </w:tc>
        <w:tc>
          <w:tcPr>
            <w:tcW w:w="257" w:type="dxa"/>
            <w:tcBorders>
              <w:top w:val="nil"/>
              <w:left w:val="nil"/>
              <w:bottom w:val="nil"/>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0.1165</w:t>
            </w:r>
          </w:p>
        </w:tc>
        <w:tc>
          <w:tcPr>
            <w:tcW w:w="828" w:type="dxa"/>
            <w:tcBorders>
              <w:top w:val="nil"/>
              <w:left w:val="nil"/>
              <w:bottom w:val="nil"/>
              <w:right w:val="single" w:sz="4" w:space="0" w:color="auto"/>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45.953</w:t>
            </w:r>
          </w:p>
        </w:tc>
      </w:tr>
      <w:tr w:rsidR="00744513" w:rsidRPr="0074218E" w:rsidTr="00733706">
        <w:trPr>
          <w:trHeight w:val="240"/>
        </w:trPr>
        <w:tc>
          <w:tcPr>
            <w:tcW w:w="1114" w:type="dxa"/>
            <w:tcBorders>
              <w:top w:val="nil"/>
              <w:left w:val="single" w:sz="4" w:space="0" w:color="auto"/>
              <w:bottom w:val="single" w:sz="4" w:space="0" w:color="auto"/>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At most 4 *</w:t>
            </w:r>
          </w:p>
        </w:tc>
        <w:tc>
          <w:tcPr>
            <w:tcW w:w="257" w:type="dxa"/>
            <w:tcBorders>
              <w:top w:val="nil"/>
              <w:left w:val="nil"/>
              <w:bottom w:val="single" w:sz="4" w:space="0" w:color="auto"/>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1054"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0.0825</w:t>
            </w:r>
          </w:p>
        </w:tc>
        <w:tc>
          <w:tcPr>
            <w:tcW w:w="828"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19.62</w:t>
            </w:r>
            <w:r>
              <w:rPr>
                <w:rFonts w:ascii="Times New Roman" w:eastAsia="MS Mincho" w:hAnsi="Times New Roman" w:cs="Times New Roman"/>
                <w:sz w:val="18"/>
                <w:szCs w:val="18"/>
              </w:rPr>
              <w:t>8</w:t>
            </w:r>
          </w:p>
        </w:tc>
        <w:tc>
          <w:tcPr>
            <w:tcW w:w="257" w:type="dxa"/>
            <w:tcBorders>
              <w:top w:val="nil"/>
              <w:left w:val="nil"/>
              <w:bottom w:val="single" w:sz="4" w:space="0" w:color="auto"/>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951"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0.0576</w:t>
            </w:r>
          </w:p>
        </w:tc>
        <w:tc>
          <w:tcPr>
            <w:tcW w:w="828"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13.532</w:t>
            </w:r>
          </w:p>
        </w:tc>
        <w:tc>
          <w:tcPr>
            <w:tcW w:w="257" w:type="dxa"/>
            <w:tcBorders>
              <w:top w:val="nil"/>
              <w:left w:val="nil"/>
              <w:bottom w:val="single" w:sz="4" w:space="0" w:color="auto"/>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951"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0.0791</w:t>
            </w:r>
          </w:p>
        </w:tc>
        <w:tc>
          <w:tcPr>
            <w:tcW w:w="828"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18.789</w:t>
            </w:r>
          </w:p>
        </w:tc>
        <w:tc>
          <w:tcPr>
            <w:tcW w:w="257" w:type="dxa"/>
            <w:tcBorders>
              <w:top w:val="nil"/>
              <w:left w:val="nil"/>
              <w:bottom w:val="single" w:sz="4" w:space="0" w:color="auto"/>
              <w:right w:val="nil"/>
            </w:tcBorders>
            <w:shd w:val="clear" w:color="auto" w:fill="auto"/>
            <w:noWrap/>
            <w:vAlign w:val="bottom"/>
          </w:tcPr>
          <w:p w:rsidR="00744513" w:rsidRPr="008D4CC9" w:rsidRDefault="00744513" w:rsidP="00733706">
            <w:pPr>
              <w:widowControl/>
              <w:rPr>
                <w:rFonts w:ascii="Times New Roman" w:eastAsia="MS Mincho" w:hAnsi="Times New Roman" w:cs="Times New Roman"/>
                <w:sz w:val="18"/>
                <w:szCs w:val="18"/>
              </w:rPr>
            </w:pPr>
            <w:r w:rsidRPr="008D4CC9">
              <w:rPr>
                <w:rFonts w:ascii="Times New Roman" w:eastAsia="MS Mincho" w:hAnsi="Times New Roman" w:cs="Times New Roman"/>
                <w:sz w:val="18"/>
                <w:szCs w:val="18"/>
              </w:rPr>
              <w:t> </w:t>
            </w:r>
          </w:p>
        </w:tc>
        <w:tc>
          <w:tcPr>
            <w:tcW w:w="951" w:type="dxa"/>
            <w:tcBorders>
              <w:top w:val="nil"/>
              <w:left w:val="nil"/>
              <w:bottom w:val="single" w:sz="4" w:space="0" w:color="auto"/>
              <w:right w:val="nil"/>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0.0747</w:t>
            </w:r>
          </w:p>
        </w:tc>
        <w:tc>
          <w:tcPr>
            <w:tcW w:w="828" w:type="dxa"/>
            <w:tcBorders>
              <w:top w:val="nil"/>
              <w:left w:val="nil"/>
              <w:bottom w:val="single" w:sz="4" w:space="0" w:color="auto"/>
              <w:right w:val="single" w:sz="4" w:space="0" w:color="auto"/>
            </w:tcBorders>
            <w:shd w:val="clear" w:color="auto" w:fill="auto"/>
            <w:noWrap/>
            <w:vAlign w:val="bottom"/>
          </w:tcPr>
          <w:p w:rsidR="00744513" w:rsidRPr="008D4CC9" w:rsidRDefault="00744513" w:rsidP="00733706">
            <w:pPr>
              <w:widowControl/>
              <w:jc w:val="right"/>
              <w:rPr>
                <w:rFonts w:ascii="Times New Roman" w:eastAsia="MS Mincho" w:hAnsi="Times New Roman" w:cs="Times New Roman"/>
                <w:sz w:val="18"/>
                <w:szCs w:val="18"/>
              </w:rPr>
            </w:pPr>
            <w:r w:rsidRPr="008D4CC9">
              <w:rPr>
                <w:rFonts w:ascii="Times New Roman" w:eastAsia="MS Mincho" w:hAnsi="Times New Roman" w:cs="Times New Roman"/>
                <w:sz w:val="18"/>
                <w:szCs w:val="18"/>
              </w:rPr>
              <w:t>17.712</w:t>
            </w:r>
          </w:p>
        </w:tc>
      </w:tr>
      <w:tr w:rsidR="00744513" w:rsidRPr="0074218E" w:rsidTr="00733706">
        <w:trPr>
          <w:trHeight w:val="240"/>
        </w:trPr>
        <w:tc>
          <w:tcPr>
            <w:tcW w:w="4461" w:type="dxa"/>
            <w:gridSpan w:val="6"/>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r w:rsidRPr="0074218E">
              <w:rPr>
                <w:rFonts w:ascii="Times New Roman" w:eastAsia="MS Mincho" w:hAnsi="Times New Roman" w:cs="Times New Roman"/>
                <w:sz w:val="18"/>
                <w:szCs w:val="18"/>
              </w:rPr>
              <w:t xml:space="preserve"> * denotes rejection of the hypothesis at the 5% level.</w:t>
            </w:r>
          </w:p>
        </w:tc>
        <w:tc>
          <w:tcPr>
            <w:tcW w:w="828"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c>
          <w:tcPr>
            <w:tcW w:w="257"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c>
          <w:tcPr>
            <w:tcW w:w="828"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c>
          <w:tcPr>
            <w:tcW w:w="257"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c>
          <w:tcPr>
            <w:tcW w:w="951"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c>
          <w:tcPr>
            <w:tcW w:w="828" w:type="dxa"/>
            <w:tcBorders>
              <w:top w:val="nil"/>
              <w:left w:val="nil"/>
              <w:bottom w:val="nil"/>
              <w:right w:val="nil"/>
            </w:tcBorders>
            <w:shd w:val="clear" w:color="auto" w:fill="auto"/>
            <w:noWrap/>
            <w:vAlign w:val="bottom"/>
          </w:tcPr>
          <w:p w:rsidR="00744513" w:rsidRPr="0074218E" w:rsidRDefault="00744513" w:rsidP="00733706">
            <w:pPr>
              <w:widowControl/>
              <w:rPr>
                <w:rFonts w:ascii="Times New Roman" w:eastAsia="MS Mincho" w:hAnsi="Times New Roman" w:cs="Times New Roman"/>
                <w:sz w:val="18"/>
                <w:szCs w:val="18"/>
              </w:rPr>
            </w:pPr>
          </w:p>
        </w:tc>
      </w:tr>
    </w:tbl>
    <w:p w:rsidR="00744513" w:rsidRPr="0074218E" w:rsidRDefault="00744513" w:rsidP="00744513">
      <w:pPr>
        <w:jc w:val="center"/>
        <w:rPr>
          <w:rFonts w:ascii="Times New Roman" w:hAnsi="Times New Roman" w:cs="Times New Roman"/>
          <w:color w:val="000000"/>
          <w:sz w:val="24"/>
        </w:rPr>
      </w:pPr>
      <w:r w:rsidRPr="0074218E">
        <w:rPr>
          <w:rFonts w:ascii="Times New Roman" w:hAnsi="Times New Roman" w:cs="Times New Roman"/>
          <w:color w:val="000000"/>
          <w:sz w:val="24"/>
        </w:rPr>
        <w:t>Table 8</w:t>
      </w:r>
      <w:r>
        <w:rPr>
          <w:rFonts w:ascii="Times New Roman" w:hAnsi="Times New Roman" w:cs="Times New Roman"/>
          <w:color w:val="000000"/>
          <w:sz w:val="24"/>
        </w:rPr>
        <w:t>:</w:t>
      </w:r>
      <w:r w:rsidRPr="0074218E">
        <w:rPr>
          <w:rFonts w:ascii="Times New Roman" w:hAnsi="Times New Roman" w:cs="Times New Roman"/>
          <w:color w:val="000000"/>
          <w:sz w:val="24"/>
        </w:rPr>
        <w:t xml:space="preserve"> Johansen’s cointegration test for the regression model of Central Asian currencies.</w:t>
      </w:r>
    </w:p>
    <w:p w:rsidR="00744513" w:rsidRPr="0074218E" w:rsidRDefault="00744513" w:rsidP="00744513">
      <w:pPr>
        <w:rPr>
          <w:rFonts w:ascii="Times New Roman" w:hAnsi="Times New Roman" w:cs="Times New Roman"/>
          <w:b/>
          <w:bCs/>
          <w:color w:val="000000"/>
          <w:sz w:val="24"/>
        </w:rPr>
      </w:pPr>
    </w:p>
    <w:p w:rsidR="00744513" w:rsidRPr="0074218E" w:rsidRDefault="00744513" w:rsidP="00744513">
      <w:pPr>
        <w:widowControl/>
        <w:autoSpaceDE w:val="0"/>
        <w:autoSpaceDN w:val="0"/>
        <w:adjustRightInd w:val="0"/>
        <w:ind w:firstLine="840"/>
        <w:rPr>
          <w:rFonts w:ascii="Times New Roman" w:hAnsi="Times New Roman" w:cs="Times New Roman"/>
          <w:color w:val="000000"/>
          <w:sz w:val="24"/>
        </w:rPr>
      </w:pPr>
      <w:r w:rsidRPr="0074218E">
        <w:rPr>
          <w:rFonts w:ascii="Times New Roman" w:hAnsi="Times New Roman" w:cs="Times New Roman"/>
          <w:color w:val="000000"/>
          <w:sz w:val="24"/>
        </w:rPr>
        <w:t xml:space="preserve">The Breusch-Godfrey Lagrange Multiplier (LM) test finds serial correlation in error terms only for the </w:t>
      </w:r>
      <w:proofErr w:type="spellStart"/>
      <w:r w:rsidRPr="0074218E">
        <w:rPr>
          <w:rFonts w:ascii="Times New Roman" w:hAnsi="Times New Roman" w:cs="Times New Roman"/>
          <w:color w:val="000000"/>
          <w:sz w:val="24"/>
        </w:rPr>
        <w:t>tenge</w:t>
      </w:r>
      <w:proofErr w:type="spellEnd"/>
      <w:r w:rsidRPr="0074218E">
        <w:rPr>
          <w:rFonts w:ascii="Times New Roman" w:hAnsi="Times New Roman" w:cs="Times New Roman"/>
          <w:color w:val="000000"/>
          <w:sz w:val="24"/>
        </w:rPr>
        <w:t xml:space="preserve"> and the somoni. In both cases, a first-order autoregressive process eliminates the problem. </w:t>
      </w:r>
    </w:p>
    <w:p w:rsidR="00744513"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 xml:space="preserve">Test results also indicate that all residuals are </w:t>
      </w:r>
      <w:proofErr w:type="spellStart"/>
      <w:r w:rsidRPr="0074218E">
        <w:rPr>
          <w:rFonts w:ascii="Times New Roman" w:hAnsi="Times New Roman" w:cs="Times New Roman"/>
          <w:color w:val="000000"/>
          <w:sz w:val="24"/>
        </w:rPr>
        <w:t>homoskedastic</w:t>
      </w:r>
      <w:proofErr w:type="spellEnd"/>
      <w:r w:rsidRPr="0074218E">
        <w:rPr>
          <w:rFonts w:ascii="Times New Roman" w:hAnsi="Times New Roman" w:cs="Times New Roman"/>
          <w:color w:val="000000"/>
          <w:sz w:val="24"/>
        </w:rPr>
        <w:t xml:space="preserve"> except </w:t>
      </w:r>
      <w:r>
        <w:rPr>
          <w:rFonts w:ascii="Times New Roman" w:hAnsi="Times New Roman" w:cs="Times New Roman"/>
          <w:color w:val="000000"/>
          <w:sz w:val="24"/>
        </w:rPr>
        <w:t xml:space="preserve">those for </w:t>
      </w:r>
      <w:r w:rsidRPr="0074218E">
        <w:rPr>
          <w:rFonts w:ascii="Times New Roman" w:hAnsi="Times New Roman" w:cs="Times New Roman"/>
          <w:color w:val="000000"/>
          <w:sz w:val="24"/>
        </w:rPr>
        <w:t xml:space="preserve">the somoni in the full regression. </w:t>
      </w:r>
    </w:p>
    <w:p w:rsidR="00744513" w:rsidRPr="0074218E" w:rsidRDefault="00744513" w:rsidP="00744513">
      <w:pPr>
        <w:ind w:firstLine="840"/>
        <w:rPr>
          <w:rFonts w:ascii="Times New Roman" w:hAnsi="Times New Roman" w:cs="Times New Roman"/>
          <w:color w:val="000000"/>
          <w:sz w:val="24"/>
        </w:rPr>
      </w:pPr>
    </w:p>
    <w:p w:rsidR="00744513" w:rsidRPr="0074218E" w:rsidRDefault="00744513" w:rsidP="00744513">
      <w:pPr>
        <w:rPr>
          <w:rFonts w:ascii="Times New Roman" w:hAnsi="Times New Roman" w:cs="Times New Roman"/>
          <w:b/>
          <w:bCs/>
          <w:color w:val="000000"/>
          <w:sz w:val="24"/>
        </w:rPr>
      </w:pPr>
      <w:r w:rsidRPr="0074218E">
        <w:rPr>
          <w:rFonts w:ascii="Times New Roman" w:hAnsi="Times New Roman" w:cs="Times New Roman"/>
          <w:b/>
          <w:bCs/>
          <w:color w:val="000000"/>
          <w:sz w:val="24"/>
        </w:rPr>
        <w:t xml:space="preserve">3.3 Results </w:t>
      </w:r>
    </w:p>
    <w:p w:rsidR="00744513" w:rsidRPr="0074218E"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Table 9 gives results of the standard time-invariant OLS model for each Central Asian country over the period from June 1995 t</w:t>
      </w:r>
      <w:r>
        <w:rPr>
          <w:rFonts w:ascii="Times New Roman" w:hAnsi="Times New Roman" w:cs="Times New Roman"/>
          <w:color w:val="000000"/>
          <w:sz w:val="24"/>
        </w:rPr>
        <w:t>hrough</w:t>
      </w:r>
      <w:r w:rsidRPr="0074218E">
        <w:rPr>
          <w:rFonts w:ascii="Times New Roman" w:hAnsi="Times New Roman" w:cs="Times New Roman"/>
          <w:color w:val="000000"/>
          <w:sz w:val="24"/>
        </w:rPr>
        <w:t xml:space="preserve"> December 2014. The coefficient for each major currency represents the degree of influence of that currency. Influence of the dollar is </w:t>
      </w:r>
      <w:r>
        <w:rPr>
          <w:rFonts w:ascii="Times New Roman" w:hAnsi="Times New Roman" w:cs="Times New Roman"/>
          <w:color w:val="000000"/>
          <w:sz w:val="24"/>
        </w:rPr>
        <w:t xml:space="preserve">statistically </w:t>
      </w:r>
      <w:r w:rsidRPr="0074218E">
        <w:rPr>
          <w:rFonts w:ascii="Times New Roman" w:hAnsi="Times New Roman" w:cs="Times New Roman"/>
          <w:color w:val="000000"/>
          <w:sz w:val="24"/>
        </w:rPr>
        <w:t xml:space="preserve">significant for the </w:t>
      </w:r>
      <w:proofErr w:type="spellStart"/>
      <w:r w:rsidRPr="0074218E">
        <w:rPr>
          <w:rFonts w:ascii="Times New Roman" w:hAnsi="Times New Roman" w:cs="Times New Roman"/>
          <w:color w:val="000000"/>
          <w:sz w:val="24"/>
        </w:rPr>
        <w:t>tenge</w:t>
      </w:r>
      <w:proofErr w:type="spellEnd"/>
      <w:r w:rsidRPr="0074218E">
        <w:rPr>
          <w:rFonts w:ascii="Times New Roman" w:hAnsi="Times New Roman" w:cs="Times New Roman"/>
          <w:color w:val="000000"/>
          <w:sz w:val="24"/>
        </w:rPr>
        <w:t xml:space="preserve">, the Kyrgyzstan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xml:space="preserve">, and the Uzbekistan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xml:space="preserve">, with the largest coefficient of 0.81 for the </w:t>
      </w:r>
      <w:proofErr w:type="spellStart"/>
      <w:r w:rsidRPr="0074218E">
        <w:rPr>
          <w:rFonts w:ascii="Times New Roman" w:hAnsi="Times New Roman" w:cs="Times New Roman"/>
          <w:color w:val="000000"/>
          <w:sz w:val="24"/>
        </w:rPr>
        <w:t>tenge</w:t>
      </w:r>
      <w:proofErr w:type="spellEnd"/>
      <w:r w:rsidRPr="0074218E">
        <w:rPr>
          <w:rFonts w:ascii="Times New Roman" w:hAnsi="Times New Roman" w:cs="Times New Roman"/>
          <w:color w:val="000000"/>
          <w:sz w:val="24"/>
        </w:rPr>
        <w:t xml:space="preserve">. The dollar’s influence is </w:t>
      </w:r>
      <w:r>
        <w:rPr>
          <w:rFonts w:ascii="Times New Roman" w:hAnsi="Times New Roman" w:cs="Times New Roman"/>
          <w:color w:val="000000"/>
          <w:sz w:val="24"/>
        </w:rPr>
        <w:t xml:space="preserve">statistically </w:t>
      </w:r>
      <w:r w:rsidRPr="0074218E">
        <w:rPr>
          <w:rFonts w:ascii="Times New Roman" w:hAnsi="Times New Roman" w:cs="Times New Roman"/>
          <w:color w:val="000000"/>
          <w:sz w:val="24"/>
        </w:rPr>
        <w:t xml:space="preserve">insignificant for the somoni. The ruble’s influence is </w:t>
      </w:r>
      <w:r>
        <w:rPr>
          <w:rFonts w:ascii="Times New Roman" w:hAnsi="Times New Roman" w:cs="Times New Roman"/>
          <w:color w:val="000000"/>
          <w:sz w:val="24"/>
        </w:rPr>
        <w:t xml:space="preserve">statistically </w:t>
      </w:r>
      <w:r w:rsidRPr="0074218E">
        <w:rPr>
          <w:rFonts w:ascii="Times New Roman" w:hAnsi="Times New Roman" w:cs="Times New Roman"/>
          <w:color w:val="000000"/>
          <w:sz w:val="24"/>
        </w:rPr>
        <w:t xml:space="preserve">significant only for the Kyrgyzstan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xml:space="preserve"> with its value of 0.19, but it</w:t>
      </w:r>
      <w:r>
        <w:rPr>
          <w:rFonts w:ascii="Times New Roman" w:hAnsi="Times New Roman" w:cs="Times New Roman"/>
          <w:color w:val="000000"/>
          <w:sz w:val="24"/>
        </w:rPr>
        <w:t>s practical significance in the sample</w:t>
      </w:r>
      <w:r w:rsidRPr="0074218E">
        <w:rPr>
          <w:rFonts w:ascii="Times New Roman" w:hAnsi="Times New Roman" w:cs="Times New Roman"/>
          <w:color w:val="000000"/>
          <w:sz w:val="24"/>
        </w:rPr>
        <w:t xml:space="preserve"> is much smaller than that of the dollar with its value of 0.51. </w:t>
      </w:r>
      <w:r>
        <w:rPr>
          <w:rFonts w:ascii="Times New Roman" w:hAnsi="Times New Roman" w:cs="Times New Roman"/>
          <w:color w:val="000000"/>
          <w:sz w:val="24"/>
        </w:rPr>
        <w:t>In practical terms, t</w:t>
      </w:r>
      <w:r w:rsidRPr="0074218E">
        <w:rPr>
          <w:rFonts w:ascii="Times New Roman" w:hAnsi="Times New Roman" w:cs="Times New Roman"/>
          <w:color w:val="000000"/>
          <w:sz w:val="24"/>
        </w:rPr>
        <w:t xml:space="preserve">he euro is influential </w:t>
      </w:r>
      <w:r>
        <w:rPr>
          <w:rFonts w:ascii="Times New Roman" w:hAnsi="Times New Roman" w:cs="Times New Roman"/>
          <w:color w:val="000000"/>
          <w:sz w:val="24"/>
        </w:rPr>
        <w:t xml:space="preserve">in the sample </w:t>
      </w:r>
      <w:r w:rsidRPr="0074218E">
        <w:rPr>
          <w:rFonts w:ascii="Times New Roman" w:hAnsi="Times New Roman" w:cs="Times New Roman"/>
          <w:color w:val="000000"/>
          <w:sz w:val="24"/>
        </w:rPr>
        <w:t xml:space="preserve">for the somoni and </w:t>
      </w:r>
      <w:r w:rsidRPr="0074218E">
        <w:rPr>
          <w:rFonts w:ascii="Times New Roman" w:hAnsi="Times New Roman" w:cs="Times New Roman"/>
          <w:color w:val="000000"/>
          <w:sz w:val="24"/>
        </w:rPr>
        <w:lastRenderedPageBreak/>
        <w:t xml:space="preserve">the Uzbekistan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xml:space="preserve"> with relatively large coefficients (0.35 and 0.28 respectively), but it is insignificant for the </w:t>
      </w:r>
      <w:proofErr w:type="spellStart"/>
      <w:r w:rsidRPr="0074218E">
        <w:rPr>
          <w:rFonts w:ascii="Times New Roman" w:hAnsi="Times New Roman" w:cs="Times New Roman"/>
          <w:color w:val="000000"/>
          <w:sz w:val="24"/>
        </w:rPr>
        <w:t>tenge</w:t>
      </w:r>
      <w:proofErr w:type="spellEnd"/>
      <w:r w:rsidRPr="0074218E">
        <w:rPr>
          <w:rFonts w:ascii="Times New Roman" w:hAnsi="Times New Roman" w:cs="Times New Roman"/>
          <w:color w:val="000000"/>
          <w:sz w:val="24"/>
        </w:rPr>
        <w:t xml:space="preserve"> and the Kyrgyzstan som. </w:t>
      </w:r>
      <w:proofErr w:type="gramStart"/>
      <w:r>
        <w:rPr>
          <w:rFonts w:ascii="Times New Roman" w:hAnsi="Times New Roman" w:cs="Times New Roman"/>
          <w:color w:val="000000"/>
          <w:sz w:val="24"/>
        </w:rPr>
        <w:t>Again</w:t>
      </w:r>
      <w:proofErr w:type="gramEnd"/>
      <w:r>
        <w:rPr>
          <w:rFonts w:ascii="Times New Roman" w:hAnsi="Times New Roman" w:cs="Times New Roman"/>
          <w:color w:val="000000"/>
          <w:sz w:val="24"/>
        </w:rPr>
        <w:t xml:space="preserve"> in practical terms, t</w:t>
      </w:r>
      <w:r w:rsidRPr="0074218E">
        <w:rPr>
          <w:rFonts w:ascii="Times New Roman" w:hAnsi="Times New Roman" w:cs="Times New Roman"/>
          <w:color w:val="000000"/>
          <w:sz w:val="24"/>
        </w:rPr>
        <w:t xml:space="preserve">he yen affects the somoni and the Uzbekistan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xml:space="preserve"> </w:t>
      </w:r>
      <w:r>
        <w:rPr>
          <w:rFonts w:ascii="Times New Roman" w:hAnsi="Times New Roman" w:cs="Times New Roman"/>
          <w:color w:val="000000"/>
          <w:sz w:val="24"/>
        </w:rPr>
        <w:t xml:space="preserve">in the sample </w:t>
      </w:r>
      <w:r w:rsidRPr="0074218E">
        <w:rPr>
          <w:rFonts w:ascii="Times New Roman" w:hAnsi="Times New Roman" w:cs="Times New Roman"/>
          <w:color w:val="000000"/>
          <w:sz w:val="24"/>
        </w:rPr>
        <w:t>to some extent (0.34 and 0.10 respectively) but n</w:t>
      </w:r>
      <w:r>
        <w:rPr>
          <w:rFonts w:ascii="Times New Roman" w:hAnsi="Times New Roman" w:cs="Times New Roman"/>
          <w:color w:val="000000"/>
          <w:sz w:val="24"/>
        </w:rPr>
        <w:t>ot</w:t>
      </w:r>
      <w:r w:rsidRPr="0074218E">
        <w:rPr>
          <w:rFonts w:ascii="Times New Roman" w:hAnsi="Times New Roman" w:cs="Times New Roman"/>
          <w:color w:val="000000"/>
          <w:sz w:val="24"/>
        </w:rPr>
        <w:t xml:space="preserve"> the </w:t>
      </w:r>
      <w:proofErr w:type="spellStart"/>
      <w:r w:rsidRPr="0074218E">
        <w:rPr>
          <w:rFonts w:ascii="Times New Roman" w:hAnsi="Times New Roman" w:cs="Times New Roman"/>
          <w:color w:val="000000"/>
          <w:sz w:val="24"/>
        </w:rPr>
        <w:t>tenge</w:t>
      </w:r>
      <w:proofErr w:type="spellEnd"/>
      <w:r w:rsidRPr="0074218E">
        <w:rPr>
          <w:rFonts w:ascii="Times New Roman" w:hAnsi="Times New Roman" w:cs="Times New Roman"/>
          <w:color w:val="000000"/>
          <w:sz w:val="24"/>
        </w:rPr>
        <w:t xml:space="preserve"> or the Kyrgyzstan som.</w:t>
      </w:r>
    </w:p>
    <w:p w:rsidR="00744513" w:rsidRPr="0074218E" w:rsidRDefault="00744513" w:rsidP="00744513">
      <w:pPr>
        <w:rPr>
          <w:rFonts w:ascii="Times New Roman" w:hAnsi="Times New Roman" w:cs="Times New Roman"/>
          <w:color w:val="000000"/>
          <w:sz w:val="24"/>
        </w:rPr>
      </w:pPr>
    </w:p>
    <w:tbl>
      <w:tblPr>
        <w:tblW w:w="9884" w:type="dxa"/>
        <w:tblInd w:w="-321" w:type="dxa"/>
        <w:tblLayout w:type="fixed"/>
        <w:tblCellMar>
          <w:left w:w="99" w:type="dxa"/>
          <w:right w:w="99" w:type="dxa"/>
        </w:tblCellMar>
        <w:tblLook w:val="0000" w:firstRow="0" w:lastRow="0" w:firstColumn="0" w:lastColumn="0" w:noHBand="0" w:noVBand="0"/>
      </w:tblPr>
      <w:tblGrid>
        <w:gridCol w:w="1470"/>
        <w:gridCol w:w="720"/>
        <w:gridCol w:w="330"/>
        <w:gridCol w:w="735"/>
        <w:gridCol w:w="398"/>
        <w:gridCol w:w="652"/>
        <w:gridCol w:w="360"/>
        <w:gridCol w:w="717"/>
        <w:gridCol w:w="398"/>
        <w:gridCol w:w="594"/>
        <w:gridCol w:w="360"/>
        <w:gridCol w:w="720"/>
        <w:gridCol w:w="360"/>
        <w:gridCol w:w="660"/>
        <w:gridCol w:w="436"/>
        <w:gridCol w:w="614"/>
        <w:gridCol w:w="360"/>
      </w:tblGrid>
      <w:tr w:rsidR="00744513" w:rsidRPr="0074218E" w:rsidTr="00733706">
        <w:trPr>
          <w:trHeight w:val="541"/>
        </w:trPr>
        <w:tc>
          <w:tcPr>
            <w:tcW w:w="1470" w:type="dxa"/>
            <w:tcBorders>
              <w:top w:val="single" w:sz="4" w:space="0" w:color="auto"/>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Dependent variable</w:t>
            </w:r>
          </w:p>
        </w:tc>
        <w:tc>
          <w:tcPr>
            <w:tcW w:w="2183" w:type="dxa"/>
            <w:gridSpan w:val="4"/>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center"/>
              <w:rPr>
                <w:rFonts w:ascii="Times New Roman" w:hAnsi="Times New Roman" w:cs="Times New Roman"/>
                <w:sz w:val="18"/>
                <w:szCs w:val="18"/>
              </w:rPr>
            </w:pPr>
            <w:r w:rsidRPr="0074218E">
              <w:rPr>
                <w:rFonts w:ascii="Times New Roman" w:hAnsi="Times New Roman" w:cs="Times New Roman"/>
                <w:sz w:val="18"/>
                <w:szCs w:val="18"/>
              </w:rPr>
              <w:t xml:space="preserve">The Kazakh </w:t>
            </w:r>
            <w:proofErr w:type="spellStart"/>
            <w:r w:rsidRPr="0074218E">
              <w:rPr>
                <w:rFonts w:ascii="Times New Roman" w:hAnsi="Times New Roman" w:cs="Times New Roman"/>
                <w:sz w:val="18"/>
                <w:szCs w:val="18"/>
              </w:rPr>
              <w:t>Tenge</w:t>
            </w:r>
            <w:proofErr w:type="spellEnd"/>
          </w:p>
        </w:tc>
        <w:tc>
          <w:tcPr>
            <w:tcW w:w="2127" w:type="dxa"/>
            <w:gridSpan w:val="4"/>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center"/>
              <w:rPr>
                <w:rFonts w:ascii="Times New Roman" w:hAnsi="Times New Roman" w:cs="Times New Roman"/>
                <w:sz w:val="18"/>
                <w:szCs w:val="18"/>
              </w:rPr>
            </w:pPr>
            <w:r w:rsidRPr="0074218E">
              <w:rPr>
                <w:rFonts w:ascii="Times New Roman" w:hAnsi="Times New Roman" w:cs="Times New Roman"/>
                <w:sz w:val="18"/>
                <w:szCs w:val="18"/>
              </w:rPr>
              <w:t xml:space="preserve">The Kyrgyz </w:t>
            </w:r>
            <w:proofErr w:type="spellStart"/>
            <w:r w:rsidRPr="0074218E">
              <w:rPr>
                <w:rFonts w:ascii="Times New Roman" w:hAnsi="Times New Roman" w:cs="Times New Roman"/>
                <w:sz w:val="18"/>
                <w:szCs w:val="18"/>
              </w:rPr>
              <w:t>Som</w:t>
            </w:r>
            <w:proofErr w:type="spellEnd"/>
          </w:p>
        </w:tc>
        <w:tc>
          <w:tcPr>
            <w:tcW w:w="2034" w:type="dxa"/>
            <w:gridSpan w:val="4"/>
            <w:tcBorders>
              <w:top w:val="single" w:sz="4" w:space="0" w:color="auto"/>
              <w:left w:val="nil"/>
              <w:bottom w:val="single" w:sz="4" w:space="0" w:color="auto"/>
              <w:right w:val="nil"/>
            </w:tcBorders>
            <w:shd w:val="clear" w:color="auto" w:fill="auto"/>
            <w:vAlign w:val="center"/>
          </w:tcPr>
          <w:p w:rsidR="00744513" w:rsidRPr="0074218E" w:rsidRDefault="00744513" w:rsidP="00733706">
            <w:pPr>
              <w:jc w:val="center"/>
              <w:rPr>
                <w:rFonts w:ascii="Times New Roman" w:hAnsi="Times New Roman" w:cs="Times New Roman"/>
                <w:sz w:val="18"/>
                <w:szCs w:val="18"/>
              </w:rPr>
            </w:pPr>
            <w:r w:rsidRPr="0074218E">
              <w:rPr>
                <w:rFonts w:ascii="Times New Roman" w:hAnsi="Times New Roman" w:cs="Times New Roman"/>
                <w:sz w:val="18"/>
                <w:szCs w:val="18"/>
              </w:rPr>
              <w:t>The Tajik Somoni</w:t>
            </w:r>
          </w:p>
        </w:tc>
        <w:tc>
          <w:tcPr>
            <w:tcW w:w="2070" w:type="dxa"/>
            <w:gridSpan w:val="4"/>
            <w:tcBorders>
              <w:top w:val="single" w:sz="4" w:space="0" w:color="auto"/>
              <w:left w:val="nil"/>
              <w:bottom w:val="single" w:sz="4" w:space="0" w:color="auto"/>
              <w:right w:val="single" w:sz="4" w:space="0" w:color="auto"/>
            </w:tcBorders>
            <w:shd w:val="clear" w:color="auto" w:fill="auto"/>
            <w:vAlign w:val="center"/>
          </w:tcPr>
          <w:p w:rsidR="00744513" w:rsidRPr="0074218E" w:rsidRDefault="00744513" w:rsidP="00733706">
            <w:pPr>
              <w:jc w:val="center"/>
              <w:rPr>
                <w:rFonts w:ascii="Times New Roman" w:hAnsi="Times New Roman" w:cs="Times New Roman"/>
                <w:sz w:val="18"/>
                <w:szCs w:val="18"/>
              </w:rPr>
            </w:pPr>
            <w:r w:rsidRPr="0074218E">
              <w:rPr>
                <w:rFonts w:ascii="Times New Roman" w:hAnsi="Times New Roman" w:cs="Times New Roman"/>
                <w:sz w:val="18"/>
                <w:szCs w:val="18"/>
              </w:rPr>
              <w:t xml:space="preserve">The Uzbek </w:t>
            </w:r>
            <w:proofErr w:type="spellStart"/>
            <w:r w:rsidRPr="0074218E">
              <w:rPr>
                <w:rFonts w:ascii="Times New Roman" w:hAnsi="Times New Roman" w:cs="Times New Roman"/>
                <w:sz w:val="18"/>
                <w:szCs w:val="18"/>
              </w:rPr>
              <w:t>Som</w:t>
            </w:r>
            <w:proofErr w:type="spellEnd"/>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Constant</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0.00 </w:t>
            </w:r>
          </w:p>
        </w:tc>
        <w:tc>
          <w:tcPr>
            <w:tcW w:w="330"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0.00</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0.01 </w:t>
            </w:r>
          </w:p>
        </w:tc>
        <w:tc>
          <w:tcPr>
            <w:tcW w:w="360" w:type="dxa"/>
            <w:tcBorders>
              <w:top w:val="nil"/>
              <w:left w:val="nil"/>
              <w:bottom w:val="nil"/>
              <w:right w:val="nil"/>
            </w:tcBorders>
            <w:vAlign w:val="center"/>
          </w:tcPr>
          <w:p w:rsidR="00744513" w:rsidRPr="0074218E" w:rsidRDefault="00744513" w:rsidP="00733706">
            <w:pPr>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0.01</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 xml:space="preserve">0.02 </w:t>
            </w:r>
          </w:p>
        </w:tc>
        <w:tc>
          <w:tcPr>
            <w:tcW w:w="360"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0.02</w:t>
            </w:r>
          </w:p>
        </w:tc>
        <w:tc>
          <w:tcPr>
            <w:tcW w:w="36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 xml:space="preserve">0.02 </w:t>
            </w:r>
          </w:p>
        </w:tc>
        <w:tc>
          <w:tcPr>
            <w:tcW w:w="436"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0.02</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32" w:right="-70"/>
              <w:jc w:val="right"/>
              <w:rPr>
                <w:rFonts w:ascii="Times New Roman" w:hAnsi="Times New Roman" w:cs="Times New Roman"/>
                <w:sz w:val="18"/>
                <w:szCs w:val="18"/>
              </w:rPr>
            </w:pPr>
            <w:r w:rsidRPr="0074218E">
              <w:rPr>
                <w:rFonts w:ascii="Times New Roman" w:hAnsi="Times New Roman" w:cs="Times New Roman"/>
                <w:sz w:val="18"/>
                <w:szCs w:val="18"/>
              </w:rPr>
              <w:t>(2.16)</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r w:rsidRPr="0074218E">
              <w:rPr>
                <w:rFonts w:ascii="Times New Roman" w:hAnsi="Times New Roman" w:cs="Times New Roman"/>
                <w:sz w:val="18"/>
                <w:szCs w:val="18"/>
              </w:rPr>
              <w:t>**</w:t>
            </w: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(2.18)</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r w:rsidRPr="0074218E">
              <w:rPr>
                <w:rFonts w:ascii="Times New Roman" w:hAnsi="Times New Roman" w:cs="Times New Roman"/>
                <w:sz w:val="18"/>
                <w:szCs w:val="18"/>
              </w:rPr>
              <w:t>**</w:t>
            </w: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(2.40)</w:t>
            </w:r>
          </w:p>
        </w:tc>
        <w:tc>
          <w:tcPr>
            <w:tcW w:w="360" w:type="dxa"/>
            <w:tcBorders>
              <w:top w:val="nil"/>
              <w:left w:val="nil"/>
              <w:bottom w:val="nil"/>
              <w:right w:val="nil"/>
            </w:tcBorders>
            <w:vAlign w:val="center"/>
          </w:tcPr>
          <w:p w:rsidR="00744513" w:rsidRPr="0074218E" w:rsidRDefault="00744513" w:rsidP="00733706">
            <w:pPr>
              <w:ind w:leftChars="-78" w:left="-172" w:firstLineChars="31" w:firstLine="56"/>
              <w:rPr>
                <w:rFonts w:ascii="Times New Roman" w:hAnsi="Times New Roman" w:cs="Times New Roman"/>
                <w:sz w:val="18"/>
                <w:szCs w:val="18"/>
              </w:rPr>
            </w:pPr>
            <w:r w:rsidRPr="0074218E">
              <w:rPr>
                <w:rFonts w:ascii="Times New Roman" w:hAnsi="Times New Roman" w:cs="Times New Roman"/>
                <w:sz w:val="18"/>
                <w:szCs w:val="18"/>
              </w:rPr>
              <w:t>**</w:t>
            </w: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(2.42)</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firstLineChars="31" w:firstLine="56"/>
              <w:rPr>
                <w:rFonts w:ascii="Times New Roman" w:hAnsi="Times New Roman" w:cs="Times New Roman"/>
                <w:sz w:val="18"/>
                <w:szCs w:val="18"/>
              </w:rPr>
            </w:pPr>
            <w:r w:rsidRPr="0074218E">
              <w:rPr>
                <w:rFonts w:ascii="Times New Roman" w:hAnsi="Times New Roman" w:cs="Times New Roman"/>
                <w:sz w:val="18"/>
                <w:szCs w:val="18"/>
              </w:rPr>
              <w:t>**</w:t>
            </w: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(2.39)</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r w:rsidRPr="0074218E">
              <w:rPr>
                <w:rFonts w:ascii="Times New Roman" w:hAnsi="Times New Roman" w:cs="Times New Roman"/>
                <w:sz w:val="18"/>
                <w:szCs w:val="18"/>
              </w:rPr>
              <w:t>**</w:t>
            </w:r>
          </w:p>
        </w:tc>
        <w:tc>
          <w:tcPr>
            <w:tcW w:w="720" w:type="dxa"/>
            <w:tcBorders>
              <w:top w:val="nil"/>
              <w:left w:val="nil"/>
              <w:bottom w:val="nil"/>
              <w:right w:val="nil"/>
            </w:tcBorders>
          </w:tcPr>
          <w:p w:rsidR="00744513" w:rsidRPr="0074218E" w:rsidRDefault="00744513" w:rsidP="00733706">
            <w:pPr>
              <w:ind w:rightChars="-43" w:right="-95"/>
              <w:jc w:val="right"/>
              <w:rPr>
                <w:rFonts w:ascii="Times New Roman" w:hAnsi="Times New Roman" w:cs="Times New Roman"/>
                <w:sz w:val="18"/>
                <w:szCs w:val="18"/>
              </w:rPr>
            </w:pPr>
            <w:r w:rsidRPr="0074218E">
              <w:rPr>
                <w:rFonts w:ascii="Times New Roman" w:hAnsi="Times New Roman" w:cs="Times New Roman"/>
                <w:sz w:val="18"/>
                <w:szCs w:val="18"/>
              </w:rPr>
              <w:t>(2.39)</w:t>
            </w:r>
          </w:p>
        </w:tc>
        <w:tc>
          <w:tcPr>
            <w:tcW w:w="360" w:type="dxa"/>
            <w:tcBorders>
              <w:top w:val="nil"/>
              <w:left w:val="nil"/>
              <w:bottom w:val="nil"/>
              <w:right w:val="nil"/>
            </w:tcBorders>
          </w:tcPr>
          <w:p w:rsidR="00744513" w:rsidRPr="0074218E" w:rsidRDefault="00744513" w:rsidP="00733706">
            <w:pPr>
              <w:ind w:left="-106" w:rightChars="-12" w:right="-26" w:firstLine="45"/>
              <w:rPr>
                <w:rFonts w:ascii="Times New Roman" w:hAnsi="Times New Roman" w:cs="Times New Roman"/>
                <w:sz w:val="18"/>
                <w:szCs w:val="18"/>
              </w:rPr>
            </w:pPr>
            <w:r w:rsidRPr="0074218E">
              <w:rPr>
                <w:rFonts w:ascii="Times New Roman" w:hAnsi="Times New Roman" w:cs="Times New Roman"/>
                <w:sz w:val="18"/>
                <w:szCs w:val="18"/>
              </w:rPr>
              <w:t>**</w:t>
            </w: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(5.25)</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r w:rsidRPr="0074218E">
              <w:rPr>
                <w:rFonts w:ascii="Times New Roman" w:hAnsi="Times New Roman" w:cs="Times New Roman"/>
                <w:sz w:val="18"/>
                <w:szCs w:val="18"/>
              </w:rPr>
              <w:t>**</w:t>
            </w: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(5.34)</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r w:rsidRPr="0074218E">
              <w:rPr>
                <w:rFonts w:ascii="Times New Roman" w:hAnsi="Times New Roman" w:cs="Times New Roman"/>
                <w:sz w:val="18"/>
                <w:szCs w:val="18"/>
              </w:rPr>
              <w:t>**</w:t>
            </w: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US Dollar</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0.81 </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0.82</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0.51 </w:t>
            </w:r>
          </w:p>
        </w:tc>
        <w:tc>
          <w:tcPr>
            <w:tcW w:w="360" w:type="dxa"/>
            <w:tcBorders>
              <w:top w:val="nil"/>
              <w:left w:val="nil"/>
              <w:bottom w:val="nil"/>
              <w:right w:val="nil"/>
            </w:tcBorders>
            <w:vAlign w:val="center"/>
          </w:tcPr>
          <w:p w:rsidR="00744513" w:rsidRPr="0074218E" w:rsidRDefault="00744513" w:rsidP="00733706">
            <w:pPr>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0.51</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center"/>
              <w:rPr>
                <w:rFonts w:ascii="Times New Roman" w:hAnsi="Times New Roman" w:cs="Times New Roman"/>
                <w:sz w:val="18"/>
                <w:szCs w:val="18"/>
              </w:rPr>
            </w:pPr>
            <w:r w:rsidRPr="0074218E">
              <w:rPr>
                <w:rFonts w:ascii="Times New Roman" w:hAnsi="Times New Roman" w:cs="Times New Roman"/>
                <w:sz w:val="18"/>
                <w:szCs w:val="18"/>
              </w:rPr>
              <w:t>0.56</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0.79</w:t>
            </w:r>
          </w:p>
        </w:tc>
        <w:tc>
          <w:tcPr>
            <w:tcW w:w="360" w:type="dxa"/>
            <w:tcBorders>
              <w:top w:val="nil"/>
              <w:left w:val="nil"/>
              <w:bottom w:val="nil"/>
              <w:right w:val="nil"/>
            </w:tcBorders>
          </w:tcPr>
          <w:p w:rsidR="00744513" w:rsidRPr="0074218E" w:rsidRDefault="00744513" w:rsidP="00733706">
            <w:pPr>
              <w:ind w:left="-106" w:rightChars="-12" w:right="-26" w:firstLine="45"/>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 xml:space="preserve">0.57 </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0.64</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32" w:right="-70"/>
              <w:jc w:val="right"/>
              <w:rPr>
                <w:rFonts w:ascii="Times New Roman" w:hAnsi="Times New Roman" w:cs="Times New Roman"/>
                <w:sz w:val="18"/>
                <w:szCs w:val="18"/>
              </w:rPr>
            </w:pPr>
            <w:r w:rsidRPr="0074218E">
              <w:rPr>
                <w:rFonts w:ascii="Times New Roman" w:hAnsi="Times New Roman" w:cs="Times New Roman"/>
                <w:sz w:val="18"/>
                <w:szCs w:val="18"/>
              </w:rPr>
              <w:t>(8.11)</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r w:rsidRPr="0074218E">
              <w:rPr>
                <w:rFonts w:ascii="Times New Roman" w:hAnsi="Times New Roman" w:cs="Times New Roman"/>
                <w:sz w:val="18"/>
                <w:szCs w:val="18"/>
              </w:rPr>
              <w:t>**</w:t>
            </w: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(9.98)</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r w:rsidRPr="0074218E">
              <w:rPr>
                <w:rFonts w:ascii="Times New Roman" w:hAnsi="Times New Roman" w:cs="Times New Roman"/>
                <w:sz w:val="18"/>
                <w:szCs w:val="18"/>
              </w:rPr>
              <w:t>**</w:t>
            </w: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(4.16)</w:t>
            </w:r>
          </w:p>
        </w:tc>
        <w:tc>
          <w:tcPr>
            <w:tcW w:w="360" w:type="dxa"/>
            <w:tcBorders>
              <w:top w:val="nil"/>
              <w:left w:val="nil"/>
              <w:bottom w:val="nil"/>
              <w:right w:val="nil"/>
            </w:tcBorders>
            <w:vAlign w:val="center"/>
          </w:tcPr>
          <w:p w:rsidR="00744513" w:rsidRPr="0074218E" w:rsidRDefault="00744513" w:rsidP="00733706">
            <w:pPr>
              <w:ind w:leftChars="-35" w:left="-23" w:hangingChars="30" w:hanging="54"/>
              <w:rPr>
                <w:rFonts w:ascii="Times New Roman" w:hAnsi="Times New Roman" w:cs="Times New Roman"/>
                <w:sz w:val="18"/>
                <w:szCs w:val="18"/>
              </w:rPr>
            </w:pPr>
            <w:r w:rsidRPr="0074218E">
              <w:rPr>
                <w:rFonts w:ascii="Times New Roman" w:hAnsi="Times New Roman" w:cs="Times New Roman"/>
                <w:sz w:val="18"/>
                <w:szCs w:val="18"/>
              </w:rPr>
              <w:t>**</w:t>
            </w: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(5.10)</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5" w:left="-23" w:hangingChars="30" w:hanging="54"/>
              <w:rPr>
                <w:rFonts w:ascii="Times New Roman" w:hAnsi="Times New Roman" w:cs="Times New Roman"/>
                <w:sz w:val="18"/>
                <w:szCs w:val="18"/>
              </w:rPr>
            </w:pPr>
            <w:r w:rsidRPr="0074218E">
              <w:rPr>
                <w:rFonts w:ascii="Times New Roman" w:hAnsi="Times New Roman" w:cs="Times New Roman"/>
                <w:sz w:val="18"/>
                <w:szCs w:val="18"/>
              </w:rPr>
              <w:t>**</w:t>
            </w: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(2.12)</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43" w:right="-95"/>
              <w:jc w:val="right"/>
              <w:rPr>
                <w:rFonts w:ascii="Times New Roman" w:hAnsi="Times New Roman" w:cs="Times New Roman"/>
                <w:sz w:val="18"/>
                <w:szCs w:val="18"/>
              </w:rPr>
            </w:pPr>
            <w:r w:rsidRPr="0074218E">
              <w:rPr>
                <w:rFonts w:ascii="Times New Roman" w:hAnsi="Times New Roman" w:cs="Times New Roman"/>
                <w:sz w:val="18"/>
                <w:szCs w:val="18"/>
              </w:rPr>
              <w:t>(3.54)</w:t>
            </w:r>
          </w:p>
        </w:tc>
        <w:tc>
          <w:tcPr>
            <w:tcW w:w="360" w:type="dxa"/>
            <w:tcBorders>
              <w:top w:val="nil"/>
              <w:left w:val="nil"/>
              <w:bottom w:val="nil"/>
              <w:right w:val="nil"/>
            </w:tcBorders>
          </w:tcPr>
          <w:p w:rsidR="00744513" w:rsidRPr="0074218E" w:rsidRDefault="00744513" w:rsidP="00733706">
            <w:pPr>
              <w:ind w:left="-106" w:rightChars="-12" w:right="-26" w:firstLine="45"/>
              <w:rPr>
                <w:rFonts w:ascii="Times New Roman" w:hAnsi="Times New Roman" w:cs="Times New Roman"/>
                <w:sz w:val="18"/>
                <w:szCs w:val="18"/>
              </w:rPr>
            </w:pPr>
            <w:r w:rsidRPr="0074218E">
              <w:rPr>
                <w:rFonts w:ascii="Times New Roman" w:hAnsi="Times New Roman" w:cs="Times New Roman"/>
                <w:sz w:val="18"/>
                <w:szCs w:val="18"/>
              </w:rPr>
              <w:t>**</w:t>
            </w: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(3.11)</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r w:rsidRPr="0074218E">
              <w:rPr>
                <w:rFonts w:ascii="Times New Roman" w:hAnsi="Times New Roman" w:cs="Times New Roman"/>
                <w:sz w:val="18"/>
                <w:szCs w:val="18"/>
              </w:rPr>
              <w:t>**</w:t>
            </w: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(4.24)</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r w:rsidRPr="0074218E">
              <w:rPr>
                <w:rFonts w:ascii="Times New Roman" w:hAnsi="Times New Roman" w:cs="Times New Roman"/>
                <w:sz w:val="18"/>
                <w:szCs w:val="18"/>
              </w:rPr>
              <w:t>**</w:t>
            </w: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Russian Ruble</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0.04 </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0.03</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0.19 </w:t>
            </w:r>
          </w:p>
        </w:tc>
        <w:tc>
          <w:tcPr>
            <w:tcW w:w="360" w:type="dxa"/>
            <w:tcBorders>
              <w:top w:val="nil"/>
              <w:left w:val="nil"/>
              <w:bottom w:val="nil"/>
              <w:right w:val="nil"/>
            </w:tcBorders>
            <w:vAlign w:val="center"/>
          </w:tcPr>
          <w:p w:rsidR="00744513" w:rsidRPr="0074218E" w:rsidRDefault="00744513" w:rsidP="00733706">
            <w:pPr>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0.19</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center"/>
              <w:rPr>
                <w:rFonts w:ascii="Times New Roman" w:hAnsi="Times New Roman" w:cs="Times New Roman"/>
                <w:sz w:val="18"/>
                <w:szCs w:val="18"/>
              </w:rPr>
            </w:pPr>
            <w:r w:rsidRPr="0074218E">
              <w:rPr>
                <w:rFonts w:ascii="Times New Roman" w:hAnsi="Times New Roman" w:cs="Times New Roman"/>
                <w:sz w:val="18"/>
                <w:szCs w:val="18"/>
              </w:rPr>
              <w:t>0.09</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0.08</w:t>
            </w:r>
          </w:p>
        </w:tc>
        <w:tc>
          <w:tcPr>
            <w:tcW w:w="360" w:type="dxa"/>
            <w:tcBorders>
              <w:top w:val="nil"/>
              <w:left w:val="nil"/>
              <w:bottom w:val="nil"/>
              <w:right w:val="nil"/>
            </w:tcBorders>
          </w:tcPr>
          <w:p w:rsidR="00744513" w:rsidRPr="0074218E" w:rsidRDefault="00744513" w:rsidP="00733706">
            <w:pPr>
              <w:ind w:left="-106" w:rightChars="-12" w:right="-26" w:firstLine="45"/>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 xml:space="preserve">0.05 </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0.04</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32" w:right="-70"/>
              <w:jc w:val="right"/>
              <w:rPr>
                <w:rFonts w:ascii="Times New Roman" w:hAnsi="Times New Roman" w:cs="Times New Roman"/>
                <w:sz w:val="18"/>
                <w:szCs w:val="18"/>
              </w:rPr>
            </w:pPr>
            <w:r w:rsidRPr="0074218E">
              <w:rPr>
                <w:rFonts w:ascii="Times New Roman" w:hAnsi="Times New Roman" w:cs="Times New Roman"/>
                <w:sz w:val="18"/>
                <w:szCs w:val="18"/>
              </w:rPr>
              <w:t>(1.07)</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(1.04)</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(4.75)</w:t>
            </w:r>
          </w:p>
        </w:tc>
        <w:tc>
          <w:tcPr>
            <w:tcW w:w="360" w:type="dxa"/>
            <w:tcBorders>
              <w:top w:val="nil"/>
              <w:left w:val="nil"/>
              <w:bottom w:val="nil"/>
              <w:right w:val="nil"/>
            </w:tcBorders>
            <w:vAlign w:val="center"/>
          </w:tcPr>
          <w:p w:rsidR="00744513" w:rsidRPr="0074218E" w:rsidRDefault="00744513" w:rsidP="00733706">
            <w:pPr>
              <w:ind w:leftChars="-42" w:left="-25" w:hangingChars="37" w:hanging="67"/>
              <w:rPr>
                <w:rFonts w:ascii="Times New Roman" w:hAnsi="Times New Roman" w:cs="Times New Roman"/>
                <w:sz w:val="18"/>
                <w:szCs w:val="18"/>
              </w:rPr>
            </w:pPr>
            <w:r w:rsidRPr="0074218E">
              <w:rPr>
                <w:rFonts w:ascii="Times New Roman" w:hAnsi="Times New Roman" w:cs="Times New Roman"/>
                <w:sz w:val="18"/>
                <w:szCs w:val="18"/>
              </w:rPr>
              <w:t>**</w:t>
            </w: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(4.84)</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42" w:left="-25" w:hangingChars="37" w:hanging="67"/>
              <w:rPr>
                <w:rFonts w:ascii="Times New Roman" w:hAnsi="Times New Roman" w:cs="Times New Roman"/>
                <w:sz w:val="18"/>
                <w:szCs w:val="18"/>
              </w:rPr>
            </w:pPr>
            <w:r w:rsidRPr="0074218E">
              <w:rPr>
                <w:rFonts w:ascii="Times New Roman" w:hAnsi="Times New Roman" w:cs="Times New Roman"/>
                <w:sz w:val="18"/>
                <w:szCs w:val="18"/>
              </w:rPr>
              <w:t>**</w:t>
            </w: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(1.02)</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43" w:right="-95"/>
              <w:jc w:val="right"/>
              <w:rPr>
                <w:rFonts w:ascii="Times New Roman" w:hAnsi="Times New Roman" w:cs="Times New Roman"/>
                <w:sz w:val="18"/>
                <w:szCs w:val="18"/>
              </w:rPr>
            </w:pPr>
            <w:r w:rsidRPr="0074218E">
              <w:rPr>
                <w:rFonts w:ascii="Times New Roman" w:hAnsi="Times New Roman" w:cs="Times New Roman"/>
                <w:sz w:val="18"/>
                <w:szCs w:val="18"/>
              </w:rPr>
              <w:t>(0.83)</w:t>
            </w:r>
          </w:p>
        </w:tc>
        <w:tc>
          <w:tcPr>
            <w:tcW w:w="360" w:type="dxa"/>
            <w:tcBorders>
              <w:top w:val="nil"/>
              <w:left w:val="nil"/>
              <w:bottom w:val="nil"/>
              <w:right w:val="nil"/>
            </w:tcBorders>
          </w:tcPr>
          <w:p w:rsidR="00744513" w:rsidRPr="0074218E" w:rsidRDefault="00744513" w:rsidP="00733706">
            <w:pPr>
              <w:ind w:left="-106" w:rightChars="-12" w:right="-26" w:firstLine="45"/>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(0.83)</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(0.71)</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Euro</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0.03 </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0.03</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-0.03 </w:t>
            </w:r>
          </w:p>
        </w:tc>
        <w:tc>
          <w:tcPr>
            <w:tcW w:w="360" w:type="dxa"/>
            <w:tcBorders>
              <w:top w:val="nil"/>
              <w:left w:val="nil"/>
              <w:bottom w:val="nil"/>
              <w:right w:val="nil"/>
            </w:tcBorders>
            <w:vAlign w:val="center"/>
          </w:tcPr>
          <w:p w:rsidR="00744513" w:rsidRPr="0074218E" w:rsidRDefault="00744513" w:rsidP="00733706">
            <w:pPr>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-0.03</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center"/>
              <w:rPr>
                <w:rFonts w:ascii="Times New Roman" w:hAnsi="Times New Roman" w:cs="Times New Roman"/>
                <w:sz w:val="18"/>
                <w:szCs w:val="18"/>
              </w:rPr>
            </w:pPr>
            <w:r w:rsidRPr="0074218E">
              <w:rPr>
                <w:rFonts w:ascii="Times New Roman" w:hAnsi="Times New Roman" w:cs="Times New Roman"/>
                <w:sz w:val="18"/>
                <w:szCs w:val="18"/>
              </w:rPr>
              <w:t>0.35</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0.29</w:t>
            </w:r>
          </w:p>
        </w:tc>
        <w:tc>
          <w:tcPr>
            <w:tcW w:w="360" w:type="dxa"/>
            <w:tcBorders>
              <w:top w:val="nil"/>
              <w:left w:val="nil"/>
              <w:bottom w:val="nil"/>
              <w:right w:val="nil"/>
            </w:tcBorders>
          </w:tcPr>
          <w:p w:rsidR="00744513" w:rsidRPr="0074218E" w:rsidRDefault="00744513" w:rsidP="00733706">
            <w:pPr>
              <w:ind w:rightChars="-12" w:right="-26"/>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 xml:space="preserve">0.28 </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0.26</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(0.19)</w:t>
            </w:r>
          </w:p>
        </w:tc>
        <w:tc>
          <w:tcPr>
            <w:tcW w:w="330" w:type="dxa"/>
            <w:tcBorders>
              <w:top w:val="nil"/>
              <w:left w:val="nil"/>
              <w:bottom w:val="nil"/>
              <w:right w:val="nil"/>
            </w:tcBorders>
            <w:vAlign w:val="center"/>
          </w:tcPr>
          <w:p w:rsidR="00744513" w:rsidRPr="0074218E" w:rsidRDefault="00744513" w:rsidP="00733706">
            <w:pPr>
              <w:ind w:leftChars="-39" w:left="-86"/>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(0.17)</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39" w:left="-86"/>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(-0.13)</w:t>
            </w:r>
          </w:p>
        </w:tc>
        <w:tc>
          <w:tcPr>
            <w:tcW w:w="360" w:type="dxa"/>
            <w:tcBorders>
              <w:top w:val="nil"/>
              <w:left w:val="nil"/>
              <w:bottom w:val="nil"/>
              <w:right w:val="nil"/>
            </w:tcBorders>
            <w:vAlign w:val="center"/>
          </w:tcPr>
          <w:p w:rsidR="00744513" w:rsidRPr="0074218E" w:rsidRDefault="00744513" w:rsidP="00733706">
            <w:pPr>
              <w:ind w:leftChars="-43" w:left="-28" w:hangingChars="37" w:hanging="67"/>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(-0.14)</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43" w:left="-28" w:hangingChars="37" w:hanging="67"/>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(0.82)</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(0.68)</w:t>
            </w:r>
          </w:p>
        </w:tc>
        <w:tc>
          <w:tcPr>
            <w:tcW w:w="360" w:type="dxa"/>
            <w:tcBorders>
              <w:top w:val="nil"/>
              <w:left w:val="nil"/>
              <w:bottom w:val="nil"/>
              <w:right w:val="nil"/>
            </w:tcBorders>
          </w:tcPr>
          <w:p w:rsidR="00744513" w:rsidRPr="0074218E" w:rsidRDefault="00744513" w:rsidP="00733706">
            <w:pPr>
              <w:ind w:rightChars="-12" w:right="-26" w:hanging="61"/>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(0.95)</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rightChars="-47" w:right="-103"/>
              <w:jc w:val="right"/>
              <w:rPr>
                <w:rFonts w:ascii="Times New Roman" w:hAnsi="Times New Roman" w:cs="Times New Roman"/>
                <w:sz w:val="18"/>
                <w:szCs w:val="18"/>
              </w:rPr>
            </w:pPr>
            <w:r w:rsidRPr="0074218E">
              <w:rPr>
                <w:rFonts w:ascii="Times New Roman" w:hAnsi="Times New Roman" w:cs="Times New Roman"/>
                <w:sz w:val="18"/>
                <w:szCs w:val="18"/>
              </w:rPr>
              <w:t>(0.88)</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Japanese Yen</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0.02 </w:t>
            </w:r>
          </w:p>
        </w:tc>
        <w:tc>
          <w:tcPr>
            <w:tcW w:w="330" w:type="dxa"/>
            <w:tcBorders>
              <w:top w:val="nil"/>
              <w:left w:val="nil"/>
              <w:bottom w:val="nil"/>
              <w:right w:val="nil"/>
            </w:tcBorders>
            <w:vAlign w:val="center"/>
          </w:tcPr>
          <w:p w:rsidR="00744513" w:rsidRPr="0074218E" w:rsidRDefault="00744513" w:rsidP="00733706">
            <w:pPr>
              <w:rPr>
                <w:rFonts w:ascii="Times New Roman" w:hAnsi="Times New Roman" w:cs="Times New Roman"/>
                <w:sz w:val="18"/>
                <w:szCs w:val="18"/>
              </w:rPr>
            </w:pPr>
          </w:p>
        </w:tc>
        <w:tc>
          <w:tcPr>
            <w:tcW w:w="735"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 xml:space="preserve">0.01 </w:t>
            </w:r>
          </w:p>
        </w:tc>
        <w:tc>
          <w:tcPr>
            <w:tcW w:w="360" w:type="dxa"/>
            <w:tcBorders>
              <w:top w:val="nil"/>
              <w:left w:val="nil"/>
              <w:bottom w:val="nil"/>
              <w:right w:val="nil"/>
            </w:tcBorders>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 xml:space="preserve">0.34 </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60" w:type="dxa"/>
            <w:tcBorders>
              <w:top w:val="nil"/>
              <w:left w:val="nil"/>
              <w:bottom w:val="nil"/>
              <w:right w:val="nil"/>
            </w:tcBorders>
          </w:tcPr>
          <w:p w:rsidR="00744513" w:rsidRPr="0074218E" w:rsidRDefault="00744513" w:rsidP="00733706">
            <w:pPr>
              <w:ind w:rightChars="-12" w:right="-26"/>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 xml:space="preserve">0.10 </w:t>
            </w:r>
          </w:p>
        </w:tc>
        <w:tc>
          <w:tcPr>
            <w:tcW w:w="436" w:type="dxa"/>
            <w:tcBorders>
              <w:top w:val="nil"/>
              <w:left w:val="nil"/>
              <w:bottom w:val="nil"/>
              <w:right w:val="nil"/>
            </w:tcBorders>
            <w:vAlign w:val="center"/>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(0.24)</w:t>
            </w:r>
          </w:p>
        </w:tc>
        <w:tc>
          <w:tcPr>
            <w:tcW w:w="330"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735"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highlight w:val="yellow"/>
              </w:rPr>
            </w:pP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(0.09)</w:t>
            </w:r>
          </w:p>
        </w:tc>
        <w:tc>
          <w:tcPr>
            <w:tcW w:w="360" w:type="dxa"/>
            <w:tcBorders>
              <w:top w:val="nil"/>
              <w:left w:val="nil"/>
              <w:bottom w:val="nil"/>
              <w:right w:val="nil"/>
            </w:tcBorders>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(1.58)</w:t>
            </w:r>
          </w:p>
        </w:tc>
        <w:tc>
          <w:tcPr>
            <w:tcW w:w="360" w:type="dxa"/>
            <w:tcBorders>
              <w:top w:val="nil"/>
              <w:left w:val="nil"/>
              <w:bottom w:val="nil"/>
              <w:right w:val="nil"/>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r w:rsidRPr="0074218E">
              <w:rPr>
                <w:rFonts w:ascii="Times New Roman" w:hAnsi="Times New Roman" w:cs="Times New Roman"/>
                <w:sz w:val="18"/>
                <w:szCs w:val="18"/>
              </w:rPr>
              <w:t>**</w:t>
            </w: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36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(0.68)</w:t>
            </w:r>
          </w:p>
        </w:tc>
        <w:tc>
          <w:tcPr>
            <w:tcW w:w="436" w:type="dxa"/>
            <w:tcBorders>
              <w:top w:val="nil"/>
              <w:left w:val="nil"/>
              <w:bottom w:val="nil"/>
              <w:right w:val="nil"/>
            </w:tcBorders>
          </w:tcPr>
          <w:p w:rsidR="00744513" w:rsidRPr="0074218E" w:rsidRDefault="00744513" w:rsidP="00733706">
            <w:pPr>
              <w:ind w:leftChars="-43" w:left="-95"/>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leftChars="-43" w:left="-95"/>
              <w:jc w:val="right"/>
              <w:rPr>
                <w:rFonts w:ascii="Times New Roman" w:hAnsi="Times New Roman" w:cs="Times New Roman"/>
                <w:sz w:val="18"/>
                <w:szCs w:val="18"/>
              </w:rPr>
            </w:pP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ind w:leftChars="-43" w:left="-95"/>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roofErr w:type="gramStart"/>
            <w:r w:rsidRPr="0074218E">
              <w:rPr>
                <w:rFonts w:ascii="Times New Roman" w:hAnsi="Times New Roman" w:cs="Times New Roman"/>
                <w:sz w:val="18"/>
                <w:szCs w:val="18"/>
              </w:rPr>
              <w:t>AR(</w:t>
            </w:r>
            <w:proofErr w:type="gramEnd"/>
            <w:r w:rsidRPr="0074218E">
              <w:rPr>
                <w:rFonts w:ascii="Times New Roman" w:hAnsi="Times New Roman" w:cs="Times New Roman"/>
                <w:sz w:val="18"/>
                <w:szCs w:val="18"/>
              </w:rPr>
              <w:t>1)</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0.20</w:t>
            </w:r>
          </w:p>
        </w:tc>
        <w:tc>
          <w:tcPr>
            <w:tcW w:w="330"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735"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r w:rsidRPr="0074218E">
              <w:rPr>
                <w:rFonts w:ascii="Times New Roman" w:hAnsi="Times New Roman" w:cs="Times New Roman"/>
                <w:sz w:val="18"/>
                <w:szCs w:val="18"/>
              </w:rPr>
              <w:t>0.20</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60" w:type="dxa"/>
            <w:tcBorders>
              <w:top w:val="nil"/>
              <w:left w:val="nil"/>
              <w:bottom w:val="nil"/>
              <w:right w:val="nil"/>
            </w:tcBorders>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center"/>
              <w:rPr>
                <w:rFonts w:ascii="Times New Roman" w:hAnsi="Times New Roman" w:cs="Times New Roman"/>
                <w:sz w:val="18"/>
                <w:szCs w:val="18"/>
              </w:rPr>
            </w:pPr>
            <w:r w:rsidRPr="0074218E">
              <w:rPr>
                <w:rFonts w:ascii="Times New Roman" w:hAnsi="Times New Roman" w:cs="Times New Roman"/>
                <w:sz w:val="18"/>
                <w:szCs w:val="18"/>
              </w:rPr>
              <w:t>0.37</w:t>
            </w:r>
          </w:p>
        </w:tc>
        <w:tc>
          <w:tcPr>
            <w:tcW w:w="360"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0.38</w:t>
            </w:r>
          </w:p>
        </w:tc>
        <w:tc>
          <w:tcPr>
            <w:tcW w:w="36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p>
        </w:tc>
        <w:tc>
          <w:tcPr>
            <w:tcW w:w="436"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(3.15)</w:t>
            </w:r>
          </w:p>
        </w:tc>
        <w:tc>
          <w:tcPr>
            <w:tcW w:w="330"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735"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r w:rsidRPr="0074218E">
              <w:rPr>
                <w:rFonts w:ascii="Times New Roman" w:hAnsi="Times New Roman" w:cs="Times New Roman"/>
                <w:sz w:val="18"/>
                <w:szCs w:val="18"/>
              </w:rPr>
              <w:t>(3.17)</w:t>
            </w: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60" w:type="dxa"/>
            <w:tcBorders>
              <w:top w:val="nil"/>
              <w:left w:val="nil"/>
              <w:bottom w:val="nil"/>
              <w:right w:val="nil"/>
            </w:tcBorders>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center"/>
              <w:rPr>
                <w:rFonts w:ascii="Times New Roman" w:hAnsi="Times New Roman" w:cs="Times New Roman"/>
                <w:sz w:val="18"/>
                <w:szCs w:val="18"/>
              </w:rPr>
            </w:pPr>
            <w:r w:rsidRPr="0074218E">
              <w:rPr>
                <w:rFonts w:ascii="Times New Roman" w:hAnsi="Times New Roman" w:cs="Times New Roman"/>
                <w:sz w:val="18"/>
                <w:szCs w:val="18"/>
              </w:rPr>
              <w:t>(6.01)</w:t>
            </w:r>
          </w:p>
        </w:tc>
        <w:tc>
          <w:tcPr>
            <w:tcW w:w="360"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(6.22)</w:t>
            </w:r>
          </w:p>
        </w:tc>
        <w:tc>
          <w:tcPr>
            <w:tcW w:w="36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p>
        </w:tc>
        <w:tc>
          <w:tcPr>
            <w:tcW w:w="436"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30"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735"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p>
        </w:tc>
        <w:tc>
          <w:tcPr>
            <w:tcW w:w="398"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60" w:type="dxa"/>
            <w:tcBorders>
              <w:top w:val="nil"/>
              <w:left w:val="nil"/>
              <w:bottom w:val="nil"/>
              <w:right w:val="nil"/>
            </w:tcBorders>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p>
        </w:tc>
        <w:tc>
          <w:tcPr>
            <w:tcW w:w="360" w:type="dxa"/>
            <w:tcBorders>
              <w:top w:val="nil"/>
              <w:left w:val="nil"/>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36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p>
        </w:tc>
        <w:tc>
          <w:tcPr>
            <w:tcW w:w="436" w:type="dxa"/>
            <w:tcBorders>
              <w:top w:val="nil"/>
              <w:left w:val="nil"/>
              <w:bottom w:val="nil"/>
              <w:right w:val="nil"/>
            </w:tcBorders>
          </w:tcPr>
          <w:p w:rsidR="00744513" w:rsidRPr="0074218E" w:rsidRDefault="00744513" w:rsidP="00733706">
            <w:pPr>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R-squared</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0.40</w:t>
            </w:r>
          </w:p>
        </w:tc>
        <w:tc>
          <w:tcPr>
            <w:tcW w:w="330" w:type="dxa"/>
            <w:tcBorders>
              <w:top w:val="nil"/>
              <w:left w:val="nil"/>
              <w:bottom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0.39</w:t>
            </w:r>
          </w:p>
        </w:tc>
        <w:tc>
          <w:tcPr>
            <w:tcW w:w="398" w:type="dxa"/>
            <w:tcBorders>
              <w:top w:val="nil"/>
              <w:left w:val="nil"/>
              <w:bottom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0.27</w:t>
            </w:r>
          </w:p>
        </w:tc>
        <w:tc>
          <w:tcPr>
            <w:tcW w:w="360" w:type="dxa"/>
            <w:tcBorders>
              <w:top w:val="nil"/>
              <w:left w:val="nil"/>
              <w:bottom w:val="nil"/>
              <w:right w:val="nil"/>
            </w:tcBorders>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0.27</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0.11</w:t>
            </w:r>
          </w:p>
        </w:tc>
        <w:tc>
          <w:tcPr>
            <w:tcW w:w="360" w:type="dxa"/>
            <w:tcBorders>
              <w:top w:val="nil"/>
              <w:left w:val="nil"/>
              <w:bottom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720" w:type="dxa"/>
            <w:tcBorders>
              <w:top w:val="nil"/>
              <w:left w:val="nil"/>
              <w:bottom w:val="nil"/>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0.09</w:t>
            </w:r>
          </w:p>
        </w:tc>
        <w:tc>
          <w:tcPr>
            <w:tcW w:w="360" w:type="dxa"/>
            <w:tcBorders>
              <w:top w:val="nil"/>
              <w:left w:val="nil"/>
              <w:bottom w:val="nil"/>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0.12</w:t>
            </w:r>
          </w:p>
        </w:tc>
        <w:tc>
          <w:tcPr>
            <w:tcW w:w="436" w:type="dxa"/>
            <w:tcBorders>
              <w:top w:val="nil"/>
              <w:left w:val="nil"/>
              <w:bottom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614"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0.12</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jc w:val="center"/>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30"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p>
        </w:tc>
        <w:tc>
          <w:tcPr>
            <w:tcW w:w="735" w:type="dxa"/>
            <w:tcBorders>
              <w:top w:val="nil"/>
              <w:left w:val="nil"/>
              <w:bottom w:val="nil"/>
              <w:right w:val="nil"/>
            </w:tcBorders>
          </w:tcPr>
          <w:p w:rsidR="00744513" w:rsidRPr="0074218E" w:rsidRDefault="00744513" w:rsidP="00733706">
            <w:pPr>
              <w:ind w:rightChars="-47" w:right="-103"/>
              <w:jc w:val="right"/>
              <w:rPr>
                <w:rFonts w:ascii="Times New Roman" w:hAnsi="Times New Roman" w:cs="Times New Roman"/>
                <w:sz w:val="18"/>
                <w:szCs w:val="18"/>
              </w:rPr>
            </w:pPr>
          </w:p>
        </w:tc>
        <w:tc>
          <w:tcPr>
            <w:tcW w:w="398" w:type="dxa"/>
            <w:tcBorders>
              <w:top w:val="nil"/>
              <w:left w:val="nil"/>
              <w:bottom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60" w:type="dxa"/>
            <w:tcBorders>
              <w:top w:val="nil"/>
              <w:left w:val="nil"/>
              <w:bottom w:val="nil"/>
              <w:right w:val="nil"/>
            </w:tcBorders>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p>
        </w:tc>
        <w:tc>
          <w:tcPr>
            <w:tcW w:w="360" w:type="dxa"/>
            <w:tcBorders>
              <w:top w:val="nil"/>
              <w:left w:val="nil"/>
              <w:bottom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72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360" w:type="dxa"/>
            <w:tcBorders>
              <w:top w:val="nil"/>
              <w:left w:val="nil"/>
              <w:bottom w:val="nil"/>
              <w:right w:val="nil"/>
            </w:tcBorders>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p>
        </w:tc>
        <w:tc>
          <w:tcPr>
            <w:tcW w:w="436" w:type="dxa"/>
            <w:tcBorders>
              <w:top w:val="nil"/>
              <w:left w:val="nil"/>
              <w:bottom w:val="nil"/>
              <w:right w:val="nil"/>
            </w:tcBorders>
          </w:tcPr>
          <w:p w:rsidR="00744513" w:rsidRPr="0074218E" w:rsidRDefault="00744513" w:rsidP="00733706">
            <w:pPr>
              <w:jc w:val="right"/>
              <w:rPr>
                <w:rFonts w:ascii="Times New Roman" w:hAnsi="Times New Roman" w:cs="Times New Roman"/>
                <w:sz w:val="18"/>
                <w:szCs w:val="18"/>
              </w:rPr>
            </w:pPr>
          </w:p>
        </w:tc>
        <w:tc>
          <w:tcPr>
            <w:tcW w:w="614" w:type="dxa"/>
            <w:tcBorders>
              <w:top w:val="nil"/>
              <w:left w:val="nil"/>
              <w:bottom w:val="nil"/>
              <w:right w:val="nil"/>
            </w:tcBorders>
          </w:tcPr>
          <w:p w:rsidR="00744513" w:rsidRPr="0074218E" w:rsidRDefault="00744513" w:rsidP="00733706">
            <w:pPr>
              <w:ind w:rightChars="-47" w:right="-103"/>
              <w:jc w:val="right"/>
              <w:rPr>
                <w:rFonts w:ascii="Times New Roman" w:hAnsi="Times New Roman" w:cs="Times New Roman"/>
                <w:sz w:val="18"/>
                <w:szCs w:val="18"/>
              </w:rPr>
            </w:pP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rPr>
            </w:pPr>
          </w:p>
        </w:tc>
      </w:tr>
      <w:tr w:rsidR="00744513" w:rsidRPr="0074218E" w:rsidTr="00733706">
        <w:trPr>
          <w:trHeight w:val="330"/>
        </w:trPr>
        <w:tc>
          <w:tcPr>
            <w:tcW w:w="1470" w:type="dxa"/>
            <w:tcBorders>
              <w:top w:val="nil"/>
              <w:left w:val="single" w:sz="4" w:space="0" w:color="auto"/>
              <w:bottom w:val="nil"/>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Wald test (F-stat)</w:t>
            </w:r>
          </w:p>
        </w:tc>
        <w:tc>
          <w:tcPr>
            <w:tcW w:w="720"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0.50</w:t>
            </w:r>
          </w:p>
        </w:tc>
        <w:tc>
          <w:tcPr>
            <w:tcW w:w="330" w:type="dxa"/>
            <w:tcBorders>
              <w:top w:val="nil"/>
              <w:left w:val="nil"/>
              <w:bottom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735"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0.40</w:t>
            </w:r>
          </w:p>
        </w:tc>
        <w:tc>
          <w:tcPr>
            <w:tcW w:w="398" w:type="dxa"/>
            <w:tcBorders>
              <w:top w:val="nil"/>
              <w:left w:val="nil"/>
              <w:bottom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652"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2.68</w:t>
            </w:r>
          </w:p>
        </w:tc>
        <w:tc>
          <w:tcPr>
            <w:tcW w:w="360" w:type="dxa"/>
            <w:tcBorders>
              <w:top w:val="nil"/>
              <w:left w:val="nil"/>
              <w:bottom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717" w:type="dxa"/>
            <w:tcBorders>
              <w:top w:val="nil"/>
              <w:left w:val="nil"/>
              <w:bottom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3.10</w:t>
            </w:r>
          </w:p>
        </w:tc>
        <w:tc>
          <w:tcPr>
            <w:tcW w:w="398" w:type="dxa"/>
            <w:tcBorders>
              <w:top w:val="nil"/>
              <w:left w:val="nil"/>
              <w:bottom w:val="nil"/>
              <w:right w:val="nil"/>
            </w:tcBorders>
            <w:shd w:val="clear" w:color="auto" w:fill="auto"/>
            <w:noWrap/>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2.07</w:t>
            </w:r>
          </w:p>
        </w:tc>
        <w:tc>
          <w:tcPr>
            <w:tcW w:w="360" w:type="dxa"/>
            <w:tcBorders>
              <w:top w:val="nil"/>
              <w:left w:val="nil"/>
              <w:bottom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720" w:type="dxa"/>
            <w:tcBorders>
              <w:top w:val="nil"/>
              <w:left w:val="nil"/>
              <w:bottom w:val="nil"/>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0.62</w:t>
            </w:r>
          </w:p>
        </w:tc>
        <w:tc>
          <w:tcPr>
            <w:tcW w:w="360" w:type="dxa"/>
            <w:tcBorders>
              <w:top w:val="nil"/>
              <w:left w:val="nil"/>
              <w:bottom w:val="nil"/>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bottom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0.00</w:t>
            </w:r>
          </w:p>
        </w:tc>
        <w:tc>
          <w:tcPr>
            <w:tcW w:w="436" w:type="dxa"/>
            <w:tcBorders>
              <w:top w:val="nil"/>
              <w:left w:val="nil"/>
              <w:bottom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614" w:type="dxa"/>
            <w:tcBorders>
              <w:top w:val="nil"/>
              <w:left w:val="nil"/>
              <w:bottom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0.04</w:t>
            </w:r>
          </w:p>
        </w:tc>
        <w:tc>
          <w:tcPr>
            <w:tcW w:w="360" w:type="dxa"/>
            <w:tcBorders>
              <w:top w:val="nil"/>
              <w:left w:val="nil"/>
              <w:bottom w:val="nil"/>
              <w:right w:val="single" w:sz="4" w:space="0" w:color="auto"/>
            </w:tcBorders>
            <w:shd w:val="clear" w:color="auto" w:fill="auto"/>
            <w:noWrap/>
            <w:vAlign w:val="center"/>
          </w:tcPr>
          <w:p w:rsidR="00744513" w:rsidRPr="0074218E" w:rsidRDefault="00744513" w:rsidP="00733706">
            <w:pPr>
              <w:jc w:val="center"/>
              <w:rPr>
                <w:rFonts w:ascii="Times New Roman" w:hAnsi="Times New Roman" w:cs="Times New Roman"/>
                <w:sz w:val="18"/>
                <w:szCs w:val="18"/>
                <w:highlight w:val="yellow"/>
              </w:rPr>
            </w:pPr>
          </w:p>
        </w:tc>
      </w:tr>
      <w:tr w:rsidR="00744513" w:rsidRPr="0074218E" w:rsidTr="00733706">
        <w:trPr>
          <w:trHeight w:val="330"/>
        </w:trPr>
        <w:tc>
          <w:tcPr>
            <w:tcW w:w="1470" w:type="dxa"/>
            <w:tcBorders>
              <w:top w:val="nil"/>
              <w:left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Probability</w:t>
            </w:r>
          </w:p>
        </w:tc>
        <w:tc>
          <w:tcPr>
            <w:tcW w:w="720" w:type="dxa"/>
            <w:tcBorders>
              <w:top w:val="nil"/>
              <w:left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(0.48)</w:t>
            </w:r>
          </w:p>
        </w:tc>
        <w:tc>
          <w:tcPr>
            <w:tcW w:w="330" w:type="dxa"/>
            <w:tcBorders>
              <w:top w:val="nil"/>
              <w:left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735" w:type="dxa"/>
            <w:tcBorders>
              <w:top w:val="nil"/>
              <w:left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(0.53)</w:t>
            </w:r>
          </w:p>
        </w:tc>
        <w:tc>
          <w:tcPr>
            <w:tcW w:w="398" w:type="dxa"/>
            <w:tcBorders>
              <w:top w:val="nil"/>
              <w:left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652" w:type="dxa"/>
            <w:tcBorders>
              <w:top w:val="nil"/>
              <w:left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(0.10)</w:t>
            </w:r>
          </w:p>
        </w:tc>
        <w:tc>
          <w:tcPr>
            <w:tcW w:w="360" w:type="dxa"/>
            <w:tcBorders>
              <w:top w:val="nil"/>
              <w:left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717" w:type="dxa"/>
            <w:tcBorders>
              <w:top w:val="nil"/>
              <w:left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(0.08)</w:t>
            </w:r>
          </w:p>
        </w:tc>
        <w:tc>
          <w:tcPr>
            <w:tcW w:w="398" w:type="dxa"/>
            <w:tcBorders>
              <w:top w:val="nil"/>
              <w:left w:val="nil"/>
              <w:right w:val="nil"/>
            </w:tcBorders>
            <w:shd w:val="clear" w:color="auto" w:fill="auto"/>
            <w:noWrap/>
            <w:vAlign w:val="center"/>
          </w:tcPr>
          <w:p w:rsidR="00744513" w:rsidRPr="0074218E" w:rsidRDefault="00744513" w:rsidP="00733706">
            <w:pPr>
              <w:ind w:leftChars="-78" w:left="-172" w:rightChars="-21" w:right="-46"/>
              <w:jc w:val="right"/>
              <w:rPr>
                <w:rFonts w:ascii="Times New Roman" w:hAnsi="Times New Roman" w:cs="Times New Roman"/>
                <w:sz w:val="18"/>
                <w:szCs w:val="18"/>
              </w:rPr>
            </w:pPr>
          </w:p>
        </w:tc>
        <w:tc>
          <w:tcPr>
            <w:tcW w:w="594" w:type="dxa"/>
            <w:tcBorders>
              <w:top w:val="nil"/>
              <w:left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(0.15)</w:t>
            </w:r>
          </w:p>
        </w:tc>
        <w:tc>
          <w:tcPr>
            <w:tcW w:w="360" w:type="dxa"/>
            <w:tcBorders>
              <w:top w:val="nil"/>
              <w:left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720" w:type="dxa"/>
            <w:tcBorders>
              <w:top w:val="nil"/>
              <w:left w:val="nil"/>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(0.43)</w:t>
            </w:r>
          </w:p>
        </w:tc>
        <w:tc>
          <w:tcPr>
            <w:tcW w:w="360" w:type="dxa"/>
            <w:tcBorders>
              <w:top w:val="nil"/>
              <w:left w:val="nil"/>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top w:val="nil"/>
              <w:left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(0.98)</w:t>
            </w:r>
          </w:p>
        </w:tc>
        <w:tc>
          <w:tcPr>
            <w:tcW w:w="436" w:type="dxa"/>
            <w:tcBorders>
              <w:top w:val="nil"/>
              <w:left w:val="nil"/>
              <w:right w:val="nil"/>
            </w:tcBorders>
            <w:vAlign w:val="center"/>
          </w:tcPr>
          <w:p w:rsidR="00744513" w:rsidRPr="0074218E" w:rsidRDefault="00744513" w:rsidP="00733706">
            <w:pPr>
              <w:jc w:val="right"/>
              <w:rPr>
                <w:rFonts w:ascii="Times New Roman" w:hAnsi="Times New Roman" w:cs="Times New Roman"/>
                <w:sz w:val="18"/>
                <w:szCs w:val="18"/>
              </w:rPr>
            </w:pPr>
          </w:p>
        </w:tc>
        <w:tc>
          <w:tcPr>
            <w:tcW w:w="614" w:type="dxa"/>
            <w:tcBorders>
              <w:top w:val="nil"/>
              <w:left w:val="nil"/>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(0.84)</w:t>
            </w:r>
          </w:p>
        </w:tc>
        <w:tc>
          <w:tcPr>
            <w:tcW w:w="360" w:type="dxa"/>
            <w:tcBorders>
              <w:top w:val="nil"/>
              <w:left w:val="nil"/>
              <w:right w:val="single" w:sz="4" w:space="0" w:color="auto"/>
            </w:tcBorders>
            <w:shd w:val="clear" w:color="auto" w:fill="auto"/>
            <w:noWrap/>
            <w:vAlign w:val="center"/>
          </w:tcPr>
          <w:p w:rsidR="00744513" w:rsidRPr="0074218E" w:rsidRDefault="00744513" w:rsidP="00733706">
            <w:pPr>
              <w:jc w:val="center"/>
              <w:rPr>
                <w:rFonts w:ascii="Times New Roman" w:hAnsi="Times New Roman" w:cs="Times New Roman"/>
                <w:sz w:val="18"/>
                <w:szCs w:val="18"/>
                <w:highlight w:val="yellow"/>
              </w:rPr>
            </w:pPr>
          </w:p>
        </w:tc>
      </w:tr>
      <w:tr w:rsidR="00744513" w:rsidRPr="0074218E" w:rsidTr="00733706">
        <w:trPr>
          <w:trHeight w:val="330"/>
        </w:trPr>
        <w:tc>
          <w:tcPr>
            <w:tcW w:w="1470" w:type="dxa"/>
            <w:tcBorders>
              <w:top w:val="nil"/>
              <w:left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18"/>
                <w:szCs w:val="18"/>
                <w:highlight w:val="yellow"/>
              </w:rPr>
            </w:pPr>
          </w:p>
        </w:tc>
        <w:tc>
          <w:tcPr>
            <w:tcW w:w="720" w:type="dxa"/>
            <w:tcBorders>
              <w:top w:val="nil"/>
              <w:left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highlight w:val="yellow"/>
              </w:rPr>
            </w:pPr>
          </w:p>
        </w:tc>
        <w:tc>
          <w:tcPr>
            <w:tcW w:w="330" w:type="dxa"/>
            <w:tcBorders>
              <w:top w:val="nil"/>
              <w:left w:val="nil"/>
              <w:right w:val="nil"/>
            </w:tcBorders>
          </w:tcPr>
          <w:p w:rsidR="00744513" w:rsidRPr="0074218E" w:rsidRDefault="00744513" w:rsidP="00733706">
            <w:pPr>
              <w:jc w:val="right"/>
              <w:rPr>
                <w:rFonts w:ascii="Times New Roman" w:hAnsi="Times New Roman" w:cs="Times New Roman"/>
                <w:sz w:val="18"/>
                <w:szCs w:val="18"/>
                <w:highlight w:val="yellow"/>
              </w:rPr>
            </w:pPr>
          </w:p>
        </w:tc>
        <w:tc>
          <w:tcPr>
            <w:tcW w:w="735" w:type="dxa"/>
            <w:tcBorders>
              <w:top w:val="nil"/>
              <w:left w:val="nil"/>
              <w:right w:val="nil"/>
            </w:tcBorders>
          </w:tcPr>
          <w:p w:rsidR="00744513" w:rsidRPr="0074218E" w:rsidRDefault="00744513" w:rsidP="00733706">
            <w:pPr>
              <w:jc w:val="right"/>
              <w:rPr>
                <w:rFonts w:ascii="Times New Roman" w:hAnsi="Times New Roman" w:cs="Times New Roman"/>
                <w:sz w:val="18"/>
                <w:szCs w:val="18"/>
                <w:highlight w:val="yellow"/>
              </w:rPr>
            </w:pPr>
          </w:p>
        </w:tc>
        <w:tc>
          <w:tcPr>
            <w:tcW w:w="398" w:type="dxa"/>
            <w:tcBorders>
              <w:top w:val="nil"/>
              <w:left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highlight w:val="yellow"/>
              </w:rPr>
            </w:pPr>
          </w:p>
        </w:tc>
        <w:tc>
          <w:tcPr>
            <w:tcW w:w="652" w:type="dxa"/>
            <w:tcBorders>
              <w:top w:val="nil"/>
              <w:left w:val="nil"/>
              <w:right w:val="nil"/>
            </w:tcBorders>
            <w:vAlign w:val="center"/>
          </w:tcPr>
          <w:p w:rsidR="00744513" w:rsidRPr="0074218E" w:rsidRDefault="00744513" w:rsidP="00733706">
            <w:pPr>
              <w:ind w:rightChars="-25" w:right="-55"/>
              <w:jc w:val="right"/>
              <w:rPr>
                <w:rFonts w:ascii="Times New Roman" w:hAnsi="Times New Roman" w:cs="Times New Roman"/>
                <w:sz w:val="18"/>
                <w:szCs w:val="18"/>
                <w:highlight w:val="yellow"/>
              </w:rPr>
            </w:pPr>
          </w:p>
        </w:tc>
        <w:tc>
          <w:tcPr>
            <w:tcW w:w="360" w:type="dxa"/>
            <w:tcBorders>
              <w:top w:val="nil"/>
              <w:left w:val="nil"/>
              <w:right w:val="nil"/>
            </w:tcBorders>
            <w:vAlign w:val="center"/>
          </w:tcPr>
          <w:p w:rsidR="00744513" w:rsidRPr="0074218E" w:rsidRDefault="00744513" w:rsidP="00733706">
            <w:pPr>
              <w:ind w:leftChars="-78" w:left="-172" w:rightChars="-21" w:right="-46"/>
              <w:jc w:val="right"/>
              <w:rPr>
                <w:rFonts w:ascii="Times New Roman" w:hAnsi="Times New Roman" w:cs="Times New Roman"/>
                <w:sz w:val="18"/>
                <w:szCs w:val="18"/>
                <w:highlight w:val="yellow"/>
              </w:rPr>
            </w:pPr>
          </w:p>
        </w:tc>
        <w:tc>
          <w:tcPr>
            <w:tcW w:w="717" w:type="dxa"/>
            <w:tcBorders>
              <w:top w:val="nil"/>
              <w:left w:val="nil"/>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highlight w:val="yellow"/>
              </w:rPr>
            </w:pPr>
          </w:p>
        </w:tc>
        <w:tc>
          <w:tcPr>
            <w:tcW w:w="398" w:type="dxa"/>
            <w:tcBorders>
              <w:top w:val="nil"/>
              <w:left w:val="nil"/>
              <w:right w:val="nil"/>
            </w:tcBorders>
            <w:shd w:val="clear" w:color="auto" w:fill="auto"/>
            <w:noWrap/>
            <w:vAlign w:val="center"/>
          </w:tcPr>
          <w:p w:rsidR="00744513" w:rsidRPr="0074218E" w:rsidRDefault="00744513" w:rsidP="00733706">
            <w:pPr>
              <w:ind w:leftChars="-78" w:left="-172" w:rightChars="-21" w:right="-46"/>
              <w:jc w:val="right"/>
              <w:rPr>
                <w:rFonts w:ascii="Times New Roman" w:hAnsi="Times New Roman" w:cs="Times New Roman"/>
                <w:sz w:val="18"/>
                <w:szCs w:val="18"/>
                <w:highlight w:val="yellow"/>
              </w:rPr>
            </w:pPr>
          </w:p>
        </w:tc>
        <w:tc>
          <w:tcPr>
            <w:tcW w:w="594" w:type="dxa"/>
            <w:tcBorders>
              <w:top w:val="nil"/>
              <w:left w:val="nil"/>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highlight w:val="yellow"/>
              </w:rPr>
            </w:pPr>
          </w:p>
        </w:tc>
        <w:tc>
          <w:tcPr>
            <w:tcW w:w="360" w:type="dxa"/>
            <w:tcBorders>
              <w:top w:val="nil"/>
              <w:left w:val="nil"/>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highlight w:val="yellow"/>
              </w:rPr>
            </w:pPr>
          </w:p>
        </w:tc>
        <w:tc>
          <w:tcPr>
            <w:tcW w:w="720" w:type="dxa"/>
            <w:tcBorders>
              <w:top w:val="nil"/>
              <w:left w:val="nil"/>
              <w:right w:val="nil"/>
            </w:tcBorders>
          </w:tcPr>
          <w:p w:rsidR="00744513" w:rsidRPr="0074218E" w:rsidRDefault="00744513" w:rsidP="00733706">
            <w:pPr>
              <w:ind w:rightChars="-12" w:right="-26"/>
              <w:jc w:val="right"/>
              <w:rPr>
                <w:rFonts w:ascii="Times New Roman" w:hAnsi="Times New Roman" w:cs="Times New Roman"/>
                <w:sz w:val="18"/>
                <w:szCs w:val="18"/>
                <w:highlight w:val="yellow"/>
              </w:rPr>
            </w:pPr>
          </w:p>
        </w:tc>
        <w:tc>
          <w:tcPr>
            <w:tcW w:w="360" w:type="dxa"/>
            <w:tcBorders>
              <w:top w:val="nil"/>
              <w:left w:val="nil"/>
              <w:right w:val="nil"/>
            </w:tcBorders>
          </w:tcPr>
          <w:p w:rsidR="00744513" w:rsidRPr="0074218E" w:rsidRDefault="00744513" w:rsidP="00733706">
            <w:pPr>
              <w:ind w:rightChars="-12" w:right="-26"/>
              <w:jc w:val="right"/>
              <w:rPr>
                <w:rFonts w:ascii="Times New Roman" w:hAnsi="Times New Roman" w:cs="Times New Roman"/>
                <w:sz w:val="18"/>
                <w:szCs w:val="18"/>
                <w:highlight w:val="yellow"/>
              </w:rPr>
            </w:pPr>
          </w:p>
        </w:tc>
        <w:tc>
          <w:tcPr>
            <w:tcW w:w="660" w:type="dxa"/>
            <w:tcBorders>
              <w:top w:val="nil"/>
              <w:left w:val="nil"/>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highlight w:val="yellow"/>
              </w:rPr>
            </w:pPr>
          </w:p>
        </w:tc>
        <w:tc>
          <w:tcPr>
            <w:tcW w:w="436" w:type="dxa"/>
            <w:tcBorders>
              <w:top w:val="nil"/>
              <w:left w:val="nil"/>
              <w:right w:val="nil"/>
            </w:tcBorders>
          </w:tcPr>
          <w:p w:rsidR="00744513" w:rsidRPr="0074218E" w:rsidRDefault="00744513" w:rsidP="00733706">
            <w:pPr>
              <w:jc w:val="right"/>
              <w:rPr>
                <w:rFonts w:ascii="Times New Roman" w:hAnsi="Times New Roman" w:cs="Times New Roman"/>
                <w:sz w:val="18"/>
                <w:szCs w:val="18"/>
                <w:highlight w:val="yellow"/>
              </w:rPr>
            </w:pPr>
          </w:p>
        </w:tc>
        <w:tc>
          <w:tcPr>
            <w:tcW w:w="614" w:type="dxa"/>
            <w:tcBorders>
              <w:top w:val="nil"/>
              <w:left w:val="nil"/>
              <w:right w:val="nil"/>
            </w:tcBorders>
          </w:tcPr>
          <w:p w:rsidR="00744513" w:rsidRPr="0074218E" w:rsidRDefault="00744513" w:rsidP="00733706">
            <w:pPr>
              <w:ind w:rightChars="-47" w:right="-103"/>
              <w:jc w:val="right"/>
              <w:rPr>
                <w:rFonts w:ascii="Times New Roman" w:hAnsi="Times New Roman" w:cs="Times New Roman"/>
                <w:sz w:val="18"/>
                <w:szCs w:val="18"/>
                <w:highlight w:val="yellow"/>
              </w:rPr>
            </w:pPr>
          </w:p>
        </w:tc>
        <w:tc>
          <w:tcPr>
            <w:tcW w:w="360" w:type="dxa"/>
            <w:tcBorders>
              <w:top w:val="nil"/>
              <w:left w:val="nil"/>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highlight w:val="yellow"/>
              </w:rPr>
            </w:pPr>
          </w:p>
        </w:tc>
      </w:tr>
      <w:tr w:rsidR="00744513" w:rsidRPr="0074218E" w:rsidTr="00733706">
        <w:trPr>
          <w:trHeight w:val="330"/>
        </w:trPr>
        <w:tc>
          <w:tcPr>
            <w:tcW w:w="1470" w:type="dxa"/>
            <w:tcBorders>
              <w:left w:val="single" w:sz="4" w:space="0" w:color="auto"/>
              <w:bottom w:val="single" w:sz="4" w:space="0" w:color="auto"/>
              <w:right w:val="nil"/>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Observations</w:t>
            </w:r>
          </w:p>
        </w:tc>
        <w:tc>
          <w:tcPr>
            <w:tcW w:w="720" w:type="dxa"/>
            <w:tcBorders>
              <w:left w:val="nil"/>
              <w:bottom w:val="single" w:sz="4" w:space="0" w:color="auto"/>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30" w:type="dxa"/>
            <w:tcBorders>
              <w:left w:val="nil"/>
              <w:bottom w:val="single" w:sz="4" w:space="0" w:color="auto"/>
              <w:right w:val="nil"/>
            </w:tcBorders>
            <w:vAlign w:val="center"/>
          </w:tcPr>
          <w:p w:rsidR="00744513" w:rsidRPr="0074218E" w:rsidRDefault="00744513" w:rsidP="00733706">
            <w:pPr>
              <w:jc w:val="right"/>
              <w:rPr>
                <w:rFonts w:ascii="Times New Roman" w:hAnsi="Times New Roman" w:cs="Times New Roman"/>
                <w:sz w:val="18"/>
                <w:szCs w:val="18"/>
              </w:rPr>
            </w:pPr>
          </w:p>
        </w:tc>
        <w:tc>
          <w:tcPr>
            <w:tcW w:w="735" w:type="dxa"/>
            <w:tcBorders>
              <w:left w:val="nil"/>
              <w:bottom w:val="single" w:sz="4" w:space="0" w:color="auto"/>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98" w:type="dxa"/>
            <w:tcBorders>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652" w:type="dxa"/>
            <w:tcBorders>
              <w:left w:val="nil"/>
              <w:bottom w:val="single" w:sz="4" w:space="0" w:color="auto"/>
              <w:right w:val="nil"/>
            </w:tcBorders>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60" w:type="dxa"/>
            <w:tcBorders>
              <w:left w:val="nil"/>
              <w:bottom w:val="single" w:sz="4" w:space="0" w:color="auto"/>
              <w:right w:val="nil"/>
            </w:tcBorders>
            <w:vAlign w:val="center"/>
          </w:tcPr>
          <w:p w:rsidR="00744513" w:rsidRPr="0074218E" w:rsidRDefault="00744513" w:rsidP="00733706">
            <w:pPr>
              <w:ind w:rightChars="-21" w:right="-46"/>
              <w:jc w:val="right"/>
              <w:rPr>
                <w:rFonts w:ascii="Times New Roman" w:hAnsi="Times New Roman" w:cs="Times New Roman"/>
                <w:sz w:val="18"/>
                <w:szCs w:val="18"/>
              </w:rPr>
            </w:pPr>
          </w:p>
        </w:tc>
        <w:tc>
          <w:tcPr>
            <w:tcW w:w="717" w:type="dxa"/>
            <w:tcBorders>
              <w:left w:val="nil"/>
              <w:bottom w:val="single" w:sz="4" w:space="0" w:color="auto"/>
              <w:right w:val="nil"/>
            </w:tcBorders>
            <w:shd w:val="clear" w:color="auto" w:fill="auto"/>
            <w:noWrap/>
            <w:vAlign w:val="center"/>
          </w:tcPr>
          <w:p w:rsidR="00744513" w:rsidRPr="0074218E" w:rsidRDefault="00744513" w:rsidP="00733706">
            <w:pPr>
              <w:ind w:rightChars="-25" w:right="-55"/>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98" w:type="dxa"/>
            <w:tcBorders>
              <w:left w:val="nil"/>
              <w:bottom w:val="single" w:sz="4" w:space="0" w:color="auto"/>
              <w:right w:val="nil"/>
            </w:tcBorders>
            <w:shd w:val="clear" w:color="auto" w:fill="auto"/>
            <w:noWrap/>
            <w:vAlign w:val="center"/>
          </w:tcPr>
          <w:p w:rsidR="00744513" w:rsidRPr="0074218E" w:rsidRDefault="00744513" w:rsidP="00733706">
            <w:pPr>
              <w:ind w:rightChars="-21" w:right="-46"/>
              <w:jc w:val="right"/>
              <w:rPr>
                <w:rFonts w:ascii="Times New Roman" w:hAnsi="Times New Roman" w:cs="Times New Roman"/>
                <w:sz w:val="18"/>
                <w:szCs w:val="18"/>
              </w:rPr>
            </w:pPr>
          </w:p>
        </w:tc>
        <w:tc>
          <w:tcPr>
            <w:tcW w:w="594" w:type="dxa"/>
            <w:tcBorders>
              <w:left w:val="nil"/>
              <w:bottom w:val="single" w:sz="4" w:space="0" w:color="auto"/>
              <w:right w:val="nil"/>
            </w:tcBorders>
            <w:shd w:val="clear" w:color="auto" w:fill="auto"/>
            <w:noWrap/>
            <w:vAlign w:val="center"/>
          </w:tcPr>
          <w:p w:rsidR="00744513" w:rsidRPr="0074218E" w:rsidRDefault="00744513" w:rsidP="00733706">
            <w:pPr>
              <w:ind w:rightChars="-50" w:right="-110"/>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60" w:type="dxa"/>
            <w:tcBorders>
              <w:left w:val="nil"/>
              <w:bottom w:val="single" w:sz="4" w:space="0" w:color="auto"/>
              <w:right w:val="nil"/>
            </w:tcBorders>
            <w:shd w:val="clear" w:color="auto" w:fill="auto"/>
            <w:noWrap/>
            <w:vAlign w:val="center"/>
          </w:tcPr>
          <w:p w:rsidR="00744513" w:rsidRPr="0074218E" w:rsidRDefault="00744513" w:rsidP="00733706">
            <w:pPr>
              <w:jc w:val="right"/>
              <w:rPr>
                <w:rFonts w:ascii="Times New Roman" w:hAnsi="Times New Roman" w:cs="Times New Roman"/>
                <w:sz w:val="18"/>
                <w:szCs w:val="18"/>
              </w:rPr>
            </w:pPr>
          </w:p>
        </w:tc>
        <w:tc>
          <w:tcPr>
            <w:tcW w:w="720" w:type="dxa"/>
            <w:tcBorders>
              <w:left w:val="nil"/>
              <w:bottom w:val="single" w:sz="4" w:space="0" w:color="auto"/>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60" w:type="dxa"/>
            <w:tcBorders>
              <w:left w:val="nil"/>
              <w:bottom w:val="single" w:sz="4" w:space="0" w:color="auto"/>
              <w:right w:val="nil"/>
            </w:tcBorders>
            <w:vAlign w:val="center"/>
          </w:tcPr>
          <w:p w:rsidR="00744513" w:rsidRPr="0074218E" w:rsidRDefault="00744513" w:rsidP="00733706">
            <w:pPr>
              <w:ind w:rightChars="-12" w:right="-26"/>
              <w:jc w:val="right"/>
              <w:rPr>
                <w:rFonts w:ascii="Times New Roman" w:hAnsi="Times New Roman" w:cs="Times New Roman"/>
                <w:sz w:val="18"/>
                <w:szCs w:val="18"/>
              </w:rPr>
            </w:pPr>
          </w:p>
        </w:tc>
        <w:tc>
          <w:tcPr>
            <w:tcW w:w="660" w:type="dxa"/>
            <w:tcBorders>
              <w:left w:val="nil"/>
              <w:bottom w:val="single" w:sz="4" w:space="0" w:color="auto"/>
              <w:right w:val="nil"/>
            </w:tcBorders>
            <w:shd w:val="clear" w:color="auto" w:fill="auto"/>
            <w:noWrap/>
            <w:vAlign w:val="center"/>
          </w:tcPr>
          <w:p w:rsidR="00744513" w:rsidRPr="0074218E" w:rsidRDefault="00744513" w:rsidP="00733706">
            <w:pPr>
              <w:ind w:rightChars="-12" w:right="-26"/>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436" w:type="dxa"/>
            <w:tcBorders>
              <w:left w:val="nil"/>
              <w:bottom w:val="single" w:sz="4" w:space="0" w:color="auto"/>
              <w:right w:val="nil"/>
            </w:tcBorders>
            <w:vAlign w:val="center"/>
          </w:tcPr>
          <w:p w:rsidR="00744513" w:rsidRPr="0074218E" w:rsidRDefault="00744513" w:rsidP="00733706">
            <w:pPr>
              <w:jc w:val="right"/>
              <w:rPr>
                <w:rFonts w:ascii="Times New Roman" w:hAnsi="Times New Roman" w:cs="Times New Roman"/>
                <w:sz w:val="18"/>
                <w:szCs w:val="18"/>
              </w:rPr>
            </w:pPr>
          </w:p>
        </w:tc>
        <w:tc>
          <w:tcPr>
            <w:tcW w:w="614" w:type="dxa"/>
            <w:tcBorders>
              <w:left w:val="nil"/>
              <w:bottom w:val="single" w:sz="4" w:space="0" w:color="auto"/>
              <w:right w:val="nil"/>
            </w:tcBorders>
            <w:vAlign w:val="center"/>
          </w:tcPr>
          <w:p w:rsidR="00744513" w:rsidRPr="0074218E" w:rsidRDefault="00744513" w:rsidP="00733706">
            <w:pPr>
              <w:ind w:rightChars="-47" w:right="-103"/>
              <w:jc w:val="right"/>
              <w:rPr>
                <w:rFonts w:ascii="Times New Roman" w:hAnsi="Times New Roman" w:cs="Times New Roman"/>
                <w:sz w:val="18"/>
                <w:szCs w:val="18"/>
              </w:rPr>
            </w:pPr>
            <w:r w:rsidRPr="0074218E">
              <w:rPr>
                <w:rFonts w:ascii="Times New Roman" w:hAnsi="Times New Roman" w:cs="Times New Roman"/>
                <w:sz w:val="18"/>
                <w:szCs w:val="18"/>
              </w:rPr>
              <w:t>233</w:t>
            </w:r>
          </w:p>
        </w:tc>
        <w:tc>
          <w:tcPr>
            <w:tcW w:w="360" w:type="dxa"/>
            <w:tcBorders>
              <w:left w:val="nil"/>
              <w:bottom w:val="single" w:sz="4" w:space="0" w:color="auto"/>
              <w:right w:val="single" w:sz="4" w:space="0" w:color="auto"/>
            </w:tcBorders>
            <w:shd w:val="clear" w:color="auto" w:fill="auto"/>
            <w:noWrap/>
            <w:vAlign w:val="center"/>
          </w:tcPr>
          <w:p w:rsidR="00744513" w:rsidRPr="0074218E" w:rsidRDefault="00744513" w:rsidP="00733706">
            <w:pPr>
              <w:rPr>
                <w:rFonts w:ascii="Times New Roman" w:hAnsi="Times New Roman" w:cs="Times New Roman"/>
                <w:sz w:val="18"/>
                <w:szCs w:val="18"/>
              </w:rPr>
            </w:pPr>
            <w:r w:rsidRPr="0074218E">
              <w:rPr>
                <w:rFonts w:ascii="Times New Roman" w:hAnsi="Times New Roman" w:cs="Times New Roman"/>
                <w:sz w:val="18"/>
                <w:szCs w:val="18"/>
              </w:rPr>
              <w:t xml:space="preserve">　</w:t>
            </w:r>
          </w:p>
        </w:tc>
      </w:tr>
    </w:tbl>
    <w:p w:rsidR="00744513" w:rsidRPr="0074218E" w:rsidRDefault="00744513" w:rsidP="00744513">
      <w:pPr>
        <w:snapToGrid w:val="0"/>
        <w:ind w:rightChars="100" w:right="220"/>
        <w:rPr>
          <w:rFonts w:ascii="Times New Roman" w:hAnsi="Times New Roman" w:cs="Times New Roman"/>
          <w:sz w:val="20"/>
          <w:szCs w:val="20"/>
        </w:rPr>
      </w:pPr>
      <w:r w:rsidRPr="0074218E">
        <w:rPr>
          <w:rFonts w:ascii="Times New Roman" w:hAnsi="Times New Roman" w:cs="Times New Roman"/>
          <w:sz w:val="20"/>
          <w:szCs w:val="20"/>
        </w:rPr>
        <w:t xml:space="preserve">Note: Figures in parentheses are t-statistics. All currencies are based on the Swiss franc. The symbols * and ** imply the significance the levels of 10% and 5% respectively. The Wald test for the coefficient restriction tests the null hypothesis that the sum of all coefficients on the right-hand side equals 1. </w:t>
      </w:r>
    </w:p>
    <w:p w:rsidR="00744513" w:rsidRPr="0074218E" w:rsidRDefault="00744513" w:rsidP="00744513">
      <w:pPr>
        <w:ind w:left="2" w:rightChars="-150" w:right="-330" w:hanging="422"/>
        <w:jc w:val="center"/>
        <w:rPr>
          <w:rFonts w:ascii="Times New Roman" w:hAnsi="Times New Roman" w:cs="Times New Roman"/>
          <w:sz w:val="24"/>
        </w:rPr>
      </w:pPr>
    </w:p>
    <w:p w:rsidR="00744513" w:rsidRPr="0074218E" w:rsidRDefault="00744513" w:rsidP="00744513">
      <w:pPr>
        <w:ind w:left="2" w:rightChars="-150" w:right="-330" w:hanging="422"/>
        <w:jc w:val="center"/>
        <w:rPr>
          <w:rFonts w:ascii="Times New Roman" w:hAnsi="Times New Roman" w:cs="Times New Roman"/>
          <w:sz w:val="24"/>
        </w:rPr>
      </w:pPr>
      <w:r w:rsidRPr="0074218E">
        <w:rPr>
          <w:rFonts w:ascii="Times New Roman" w:hAnsi="Times New Roman" w:cs="Times New Roman"/>
          <w:sz w:val="24"/>
        </w:rPr>
        <w:t>Table 9</w:t>
      </w:r>
      <w:r>
        <w:rPr>
          <w:rFonts w:ascii="Times New Roman" w:hAnsi="Times New Roman" w:cs="Times New Roman"/>
          <w:sz w:val="24"/>
        </w:rPr>
        <w:t>:</w:t>
      </w:r>
      <w:r w:rsidRPr="0074218E">
        <w:rPr>
          <w:rFonts w:ascii="Times New Roman" w:hAnsi="Times New Roman" w:cs="Times New Roman"/>
          <w:sz w:val="24"/>
        </w:rPr>
        <w:t xml:space="preserve"> Estimation results of time-invariant OLS.</w:t>
      </w:r>
    </w:p>
    <w:p w:rsidR="00744513" w:rsidRDefault="00744513" w:rsidP="00744513">
      <w:pPr>
        <w:ind w:firstLine="840"/>
        <w:rPr>
          <w:rFonts w:ascii="Times New Roman" w:hAnsi="Times New Roman" w:cs="Times New Roman"/>
          <w:color w:val="000000"/>
          <w:sz w:val="24"/>
        </w:rPr>
      </w:pPr>
    </w:p>
    <w:p w:rsidR="00744513" w:rsidRPr="0074218E"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 xml:space="preserve">To check whether each currency follows a major currency or the currency basket, we test the null hypothesis that the coefficients </w:t>
      </w:r>
      <w:r>
        <w:rPr>
          <w:rFonts w:ascii="Times New Roman" w:hAnsi="Times New Roman" w:cs="Times New Roman"/>
          <w:color w:val="000000"/>
          <w:sz w:val="24"/>
        </w:rPr>
        <w:t xml:space="preserve">of </w:t>
      </w:r>
      <w:r w:rsidRPr="0074218E">
        <w:rPr>
          <w:rFonts w:ascii="Times New Roman" w:hAnsi="Times New Roman" w:cs="Times New Roman"/>
          <w:color w:val="000000"/>
          <w:sz w:val="24"/>
        </w:rPr>
        <w:t xml:space="preserve">major currencies sum to unity, following </w:t>
      </w:r>
      <w:proofErr w:type="spellStart"/>
      <w:r w:rsidRPr="0074218E">
        <w:rPr>
          <w:rFonts w:ascii="Times New Roman" w:hAnsi="Times New Roman" w:cs="Times New Roman"/>
          <w:color w:val="000000"/>
          <w:sz w:val="24"/>
        </w:rPr>
        <w:t>Cavoli</w:t>
      </w:r>
      <w:proofErr w:type="spellEnd"/>
      <w:r w:rsidRPr="0074218E">
        <w:rPr>
          <w:rFonts w:ascii="Times New Roman" w:hAnsi="Times New Roman" w:cs="Times New Roman"/>
          <w:color w:val="000000"/>
          <w:sz w:val="24"/>
        </w:rPr>
        <w:t xml:space="preserve"> and </w:t>
      </w:r>
      <w:proofErr w:type="spellStart"/>
      <w:r w:rsidRPr="0074218E">
        <w:rPr>
          <w:rFonts w:ascii="Times New Roman" w:hAnsi="Times New Roman" w:cs="Times New Roman"/>
          <w:color w:val="000000"/>
          <w:sz w:val="24"/>
        </w:rPr>
        <w:t>Rajan</w:t>
      </w:r>
      <w:proofErr w:type="spellEnd"/>
      <w:r w:rsidRPr="0074218E">
        <w:rPr>
          <w:rFonts w:ascii="Times New Roman" w:hAnsi="Times New Roman" w:cs="Times New Roman"/>
          <w:color w:val="000000"/>
          <w:sz w:val="24"/>
        </w:rPr>
        <w:t xml:space="preserve"> (2007). Table 9 shows the Wald test results. The null hypothesis of the unity sum is rejected only for the Kyrgyzstan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at the 10% level</w:t>
      </w:r>
      <w:r>
        <w:rPr>
          <w:rFonts w:ascii="Times New Roman" w:hAnsi="Times New Roman" w:cs="Times New Roman"/>
          <w:color w:val="000000"/>
          <w:sz w:val="24"/>
        </w:rPr>
        <w:t xml:space="preserve"> of significance. </w:t>
      </w:r>
      <w:r w:rsidRPr="0074218E">
        <w:rPr>
          <w:rFonts w:ascii="Times New Roman" w:hAnsi="Times New Roman" w:cs="Times New Roman"/>
          <w:color w:val="000000"/>
          <w:sz w:val="24"/>
        </w:rPr>
        <w:t xml:space="preserve">Evidently, most currencies follow the basket.  </w:t>
      </w:r>
    </w:p>
    <w:p w:rsidR="00744513" w:rsidRPr="0074218E" w:rsidRDefault="00744513" w:rsidP="00744513">
      <w:pPr>
        <w:ind w:firstLine="840"/>
        <w:rPr>
          <w:rFonts w:ascii="Times New Roman" w:hAnsi="Times New Roman" w:cs="Times New Roman"/>
          <w:color w:val="000000"/>
          <w:sz w:val="24"/>
        </w:rPr>
      </w:pPr>
      <w:r w:rsidRPr="0074218E">
        <w:rPr>
          <w:rFonts w:ascii="Times New Roman" w:hAnsi="Times New Roman" w:cs="Times New Roman"/>
          <w:color w:val="000000"/>
          <w:sz w:val="24"/>
        </w:rPr>
        <w:t xml:space="preserve">The method of time-varying coefficients also yields policy implications. As </w:t>
      </w:r>
      <w:proofErr w:type="spellStart"/>
      <w:r w:rsidRPr="0074218E">
        <w:rPr>
          <w:rFonts w:ascii="Times New Roman" w:hAnsi="Times New Roman" w:cs="Times New Roman"/>
          <w:color w:val="000000"/>
          <w:sz w:val="24"/>
        </w:rPr>
        <w:t>Cavoli</w:t>
      </w:r>
      <w:proofErr w:type="spellEnd"/>
      <w:r w:rsidRPr="0074218E">
        <w:rPr>
          <w:rFonts w:ascii="Times New Roman" w:hAnsi="Times New Roman" w:cs="Times New Roman"/>
          <w:color w:val="000000"/>
          <w:sz w:val="24"/>
        </w:rPr>
        <w:t xml:space="preserve"> and </w:t>
      </w:r>
      <w:proofErr w:type="spellStart"/>
      <w:r w:rsidRPr="0074218E">
        <w:rPr>
          <w:rFonts w:ascii="Times New Roman" w:hAnsi="Times New Roman" w:cs="Times New Roman"/>
          <w:color w:val="000000"/>
          <w:sz w:val="24"/>
        </w:rPr>
        <w:t>Rajan</w:t>
      </w:r>
      <w:proofErr w:type="spellEnd"/>
      <w:r w:rsidRPr="0074218E">
        <w:rPr>
          <w:rFonts w:ascii="Times New Roman" w:hAnsi="Times New Roman" w:cs="Times New Roman"/>
          <w:color w:val="000000"/>
          <w:sz w:val="24"/>
        </w:rPr>
        <w:t xml:space="preserve"> (2007) point out, a high and stable coefficient for a major currency suggests that the central bank </w:t>
      </w:r>
      <w:r>
        <w:rPr>
          <w:rFonts w:ascii="Times New Roman" w:hAnsi="Times New Roman" w:cs="Times New Roman"/>
          <w:color w:val="000000"/>
          <w:sz w:val="24"/>
        </w:rPr>
        <w:t xml:space="preserve">is </w:t>
      </w:r>
      <w:r w:rsidRPr="0074218E">
        <w:rPr>
          <w:rFonts w:ascii="Times New Roman" w:hAnsi="Times New Roman" w:cs="Times New Roman"/>
          <w:color w:val="000000"/>
          <w:sz w:val="24"/>
        </w:rPr>
        <w:t xml:space="preserve">intervening often. </w:t>
      </w:r>
      <w:r>
        <w:rPr>
          <w:rFonts w:ascii="Times New Roman" w:hAnsi="Times New Roman" w:cs="Times New Roman"/>
          <w:color w:val="000000"/>
          <w:sz w:val="24"/>
        </w:rPr>
        <w:t>A</w:t>
      </w:r>
      <w:r w:rsidRPr="0074218E">
        <w:rPr>
          <w:rFonts w:ascii="Times New Roman" w:hAnsi="Times New Roman" w:cs="Times New Roman"/>
          <w:color w:val="000000"/>
          <w:sz w:val="24"/>
        </w:rPr>
        <w:t xml:space="preserve"> high and unstable coefficient indicates that the foreign exchange market, not intervention in it, influences the link between the major currency and the local one. </w:t>
      </w:r>
    </w:p>
    <w:p w:rsidR="00744513" w:rsidRPr="0074218E" w:rsidRDefault="00744513" w:rsidP="00744513">
      <w:pPr>
        <w:ind w:firstLine="840"/>
        <w:rPr>
          <w:rFonts w:ascii="Times New Roman" w:hAnsi="Times New Roman" w:cs="Times New Roman"/>
          <w:sz w:val="24"/>
        </w:rPr>
      </w:pPr>
      <w:r>
        <w:rPr>
          <w:rFonts w:ascii="Times New Roman" w:hAnsi="Times New Roman" w:cs="Times New Roman"/>
          <w:color w:val="000000"/>
          <w:sz w:val="24"/>
        </w:rPr>
        <w:t xml:space="preserve">I </w:t>
      </w:r>
      <w:r w:rsidRPr="0074218E">
        <w:rPr>
          <w:rFonts w:ascii="Times New Roman" w:hAnsi="Times New Roman" w:cs="Times New Roman"/>
          <w:color w:val="000000"/>
          <w:sz w:val="24"/>
        </w:rPr>
        <w:t xml:space="preserve">applied recursive OLS to the sample period from June 1995 through December 2014. </w:t>
      </w:r>
      <w:r w:rsidRPr="0074218E">
        <w:rPr>
          <w:rFonts w:ascii="Times New Roman" w:hAnsi="Times New Roman" w:cs="Times New Roman"/>
          <w:sz w:val="24"/>
        </w:rPr>
        <w:lastRenderedPageBreak/>
        <w:t xml:space="preserve">Figures 4-7 illustrate the dynamic behavior of the coefficients for the dollar and the ruble. In the case of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the </w:t>
      </w:r>
      <w:r>
        <w:rPr>
          <w:rFonts w:ascii="Times New Roman" w:hAnsi="Times New Roman" w:cs="Times New Roman"/>
          <w:sz w:val="24"/>
        </w:rPr>
        <w:t xml:space="preserve">dollar’s </w:t>
      </w:r>
      <w:r w:rsidRPr="0074218E">
        <w:rPr>
          <w:rFonts w:ascii="Times New Roman" w:hAnsi="Times New Roman" w:cs="Times New Roman"/>
          <w:sz w:val="24"/>
        </w:rPr>
        <w:t xml:space="preserve">influence declined until the </w:t>
      </w:r>
      <w:r>
        <w:rPr>
          <w:rFonts w:ascii="Times New Roman" w:hAnsi="Times New Roman" w:cs="Times New Roman"/>
          <w:sz w:val="24"/>
        </w:rPr>
        <w:t xml:space="preserve">2008-9 </w:t>
      </w:r>
      <w:r w:rsidRPr="0074218E">
        <w:rPr>
          <w:rFonts w:ascii="Times New Roman" w:hAnsi="Times New Roman" w:cs="Times New Roman"/>
          <w:sz w:val="24"/>
        </w:rPr>
        <w:t xml:space="preserve">crisis (Figure 4). Then it slightly increased and remained significant. The ruble was influential until its crisis in 1998, when its power over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declined dras</w:t>
      </w:r>
      <w:r>
        <w:rPr>
          <w:rFonts w:ascii="Times New Roman" w:hAnsi="Times New Roman" w:cs="Times New Roman"/>
          <w:sz w:val="24"/>
        </w:rPr>
        <w:t xml:space="preserve">tically. After that, influence </w:t>
      </w:r>
      <w:r w:rsidRPr="0074218E">
        <w:rPr>
          <w:rFonts w:ascii="Times New Roman" w:hAnsi="Times New Roman" w:cs="Times New Roman"/>
          <w:sz w:val="24"/>
        </w:rPr>
        <w:t>intensified very slightly, mostly due to the Kazakh authorities relaxing the exchange rate against the dollar in 2001-2.</w:t>
      </w:r>
      <w:r w:rsidRPr="0074218E">
        <w:rPr>
          <w:rStyle w:val="ab"/>
          <w:rFonts w:ascii="Times New Roman" w:hAnsi="Times New Roman" w:cs="Times New Roman"/>
          <w:sz w:val="24"/>
        </w:rPr>
        <w:footnoteReference w:id="11"/>
      </w:r>
      <w:r w:rsidRPr="0074218E">
        <w:rPr>
          <w:rFonts w:ascii="Times New Roman" w:hAnsi="Times New Roman" w:cs="Times New Roman"/>
          <w:sz w:val="24"/>
        </w:rPr>
        <w:t xml:space="preserve"> Since </w:t>
      </w:r>
      <w:r>
        <w:rPr>
          <w:rFonts w:ascii="Times New Roman" w:hAnsi="Times New Roman" w:cs="Times New Roman"/>
          <w:sz w:val="24"/>
        </w:rPr>
        <w:t>then</w:t>
      </w:r>
      <w:r w:rsidRPr="0074218E">
        <w:rPr>
          <w:rFonts w:ascii="Times New Roman" w:hAnsi="Times New Roman" w:cs="Times New Roman"/>
          <w:sz w:val="24"/>
        </w:rPr>
        <w:t xml:space="preserve">, the dollar has </w:t>
      </w:r>
      <w:r>
        <w:rPr>
          <w:rFonts w:ascii="Times New Roman" w:hAnsi="Times New Roman" w:cs="Times New Roman"/>
          <w:sz w:val="24"/>
        </w:rPr>
        <w:t xml:space="preserve">lost some </w:t>
      </w:r>
      <w:r w:rsidRPr="0074218E">
        <w:rPr>
          <w:rFonts w:ascii="Times New Roman" w:hAnsi="Times New Roman" w:cs="Times New Roman"/>
          <w:sz w:val="24"/>
        </w:rPr>
        <w:t>influen</w:t>
      </w:r>
      <w:r>
        <w:rPr>
          <w:rFonts w:ascii="Times New Roman" w:hAnsi="Times New Roman" w:cs="Times New Roman"/>
          <w:sz w:val="24"/>
        </w:rPr>
        <w:t xml:space="preserve">ce </w:t>
      </w:r>
      <w:r w:rsidRPr="0074218E">
        <w:rPr>
          <w:rFonts w:ascii="Times New Roman" w:hAnsi="Times New Roman" w:cs="Times New Roman"/>
          <w:sz w:val="24"/>
        </w:rPr>
        <w:t xml:space="preserve">over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while the ruble has </w:t>
      </w:r>
      <w:r>
        <w:rPr>
          <w:rFonts w:ascii="Times New Roman" w:hAnsi="Times New Roman" w:cs="Times New Roman"/>
          <w:sz w:val="24"/>
        </w:rPr>
        <w:t>gained</w:t>
      </w:r>
      <w:r w:rsidRPr="0074218E">
        <w:rPr>
          <w:rFonts w:ascii="Times New Roman" w:hAnsi="Times New Roman" w:cs="Times New Roman"/>
          <w:sz w:val="24"/>
        </w:rPr>
        <w:t xml:space="preserve"> influen</w:t>
      </w:r>
      <w:r>
        <w:rPr>
          <w:rFonts w:ascii="Times New Roman" w:hAnsi="Times New Roman" w:cs="Times New Roman"/>
          <w:sz w:val="24"/>
        </w:rPr>
        <w:t>ce slightly</w:t>
      </w:r>
      <w:r w:rsidRPr="0074218E">
        <w:rPr>
          <w:rFonts w:ascii="Times New Roman" w:hAnsi="Times New Roman" w:cs="Times New Roman"/>
          <w:sz w:val="24"/>
        </w:rPr>
        <w:t xml:space="preserve">. But the dollar remains far more influential than the ruble.  </w:t>
      </w:r>
    </w:p>
    <w:p w:rsidR="00744513" w:rsidRPr="0074218E" w:rsidRDefault="00744513" w:rsidP="00744513">
      <w:pPr>
        <w:spacing w:line="360" w:lineRule="auto"/>
      </w:pPr>
    </w:p>
    <w:p w:rsidR="00744513" w:rsidRDefault="00744513" w:rsidP="00744513">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1E34BA9B" wp14:editId="67E78254">
            <wp:extent cx="5800725" cy="24955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5800725" cy="2495550"/>
                    </a:xfrm>
                    <a:prstGeom prst="rect">
                      <a:avLst/>
                    </a:prstGeom>
                    <a:noFill/>
                    <a:ln w="9525">
                      <a:noFill/>
                      <a:miter lim="800000"/>
                      <a:headEnd/>
                      <a:tailEnd/>
                    </a:ln>
                  </pic:spPr>
                </pic:pic>
              </a:graphicData>
            </a:graphic>
          </wp:inline>
        </w:drawing>
      </w:r>
    </w:p>
    <w:p w:rsidR="00744513" w:rsidRPr="0074218E" w:rsidRDefault="00744513" w:rsidP="00744513">
      <w:pPr>
        <w:spacing w:line="360" w:lineRule="auto"/>
        <w:jc w:val="center"/>
      </w:pPr>
      <w:r>
        <w:rPr>
          <w:rFonts w:ascii="Times New Roman" w:hAnsi="Times New Roman" w:cs="Times New Roman"/>
          <w:sz w:val="24"/>
        </w:rPr>
        <w:t>Figure 4:</w:t>
      </w:r>
      <w:r w:rsidRPr="0074218E">
        <w:rPr>
          <w:rFonts w:ascii="Times New Roman" w:hAnsi="Times New Roman" w:cs="Times New Roman"/>
          <w:sz w:val="24"/>
        </w:rPr>
        <w:t xml:space="preserve"> Recursive dollar and ruble coefficient estimates in Kazakhstan.</w:t>
      </w:r>
    </w:p>
    <w:p w:rsidR="00744513" w:rsidRPr="0074218E" w:rsidRDefault="00744513" w:rsidP="00744513">
      <w:pPr>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The result for the Kyrgyzstan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is somewhat like that for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(Figure 5). The dollar’s influence fluctuated over the period, slightly intensifying after the 2008-9 crisis. The ruble’s influence also intensified to some extent but was less significant than the dollar, which </w:t>
      </w:r>
      <w:r>
        <w:rPr>
          <w:rFonts w:ascii="Times New Roman" w:hAnsi="Times New Roman" w:cs="Times New Roman"/>
          <w:sz w:val="24"/>
        </w:rPr>
        <w:t xml:space="preserve">in turn </w:t>
      </w:r>
      <w:r w:rsidRPr="0074218E">
        <w:rPr>
          <w:rFonts w:ascii="Times New Roman" w:hAnsi="Times New Roman" w:cs="Times New Roman"/>
          <w:sz w:val="24"/>
        </w:rPr>
        <w:t xml:space="preserve">was less significant for the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than for the </w:t>
      </w:r>
      <w:proofErr w:type="spellStart"/>
      <w:r w:rsidRPr="0074218E">
        <w:rPr>
          <w:rFonts w:ascii="Times New Roman" w:hAnsi="Times New Roman" w:cs="Times New Roman"/>
          <w:sz w:val="24"/>
        </w:rPr>
        <w:t>tenge</w:t>
      </w:r>
      <w:proofErr w:type="spellEnd"/>
      <w:r w:rsidRPr="0074218E">
        <w:rPr>
          <w:rFonts w:ascii="Times New Roman" w:hAnsi="Times New Roman" w:cs="Times New Roman"/>
          <w:sz w:val="24"/>
        </w:rPr>
        <w:t xml:space="preserve">. </w:t>
      </w:r>
    </w:p>
    <w:p w:rsidR="00744513" w:rsidRPr="0074218E" w:rsidRDefault="00744513" w:rsidP="00744513">
      <w:pPr>
        <w:jc w:val="center"/>
      </w:pPr>
    </w:p>
    <w:p w:rsidR="00744513" w:rsidRDefault="00744513" w:rsidP="00744513">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377FCF4C" wp14:editId="3D4056F9">
            <wp:extent cx="5734050" cy="2476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5734050" cy="2476500"/>
                    </a:xfrm>
                    <a:prstGeom prst="rect">
                      <a:avLst/>
                    </a:prstGeom>
                    <a:noFill/>
                    <a:ln w="9525">
                      <a:noFill/>
                      <a:miter lim="800000"/>
                      <a:headEnd/>
                      <a:tailEnd/>
                    </a:ln>
                  </pic:spPr>
                </pic:pic>
              </a:graphicData>
            </a:graphic>
          </wp:inline>
        </w:drawing>
      </w: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lastRenderedPageBreak/>
        <w:t>Figure 5:</w:t>
      </w:r>
      <w:r w:rsidRPr="0074218E">
        <w:rPr>
          <w:rFonts w:ascii="Times New Roman" w:hAnsi="Times New Roman" w:cs="Times New Roman"/>
          <w:sz w:val="24"/>
        </w:rPr>
        <w:t xml:space="preserve"> Recursive dollar and ruble coefficient estimates in Kyrgyzstan.</w:t>
      </w:r>
    </w:p>
    <w:p w:rsidR="00744513" w:rsidRDefault="00744513" w:rsidP="00744513">
      <w:pPr>
        <w:ind w:firstLine="840"/>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On the somoni, neither the dollar nor the ruble had a significant influence (Figure 6).</w:t>
      </w:r>
    </w:p>
    <w:p w:rsidR="00744513" w:rsidRPr="0074218E" w:rsidRDefault="00744513" w:rsidP="00744513">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6855696B" wp14:editId="2FBA1B58">
            <wp:extent cx="5800725" cy="24669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5800725" cy="2466975"/>
                    </a:xfrm>
                    <a:prstGeom prst="rect">
                      <a:avLst/>
                    </a:prstGeom>
                    <a:noFill/>
                    <a:ln w="9525">
                      <a:noFill/>
                      <a:miter lim="800000"/>
                      <a:headEnd/>
                      <a:tailEnd/>
                    </a:ln>
                  </pic:spPr>
                </pic:pic>
              </a:graphicData>
            </a:graphic>
          </wp:inline>
        </w:drawing>
      </w: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t>Figure 6:</w:t>
      </w:r>
      <w:r w:rsidRPr="0074218E">
        <w:rPr>
          <w:rFonts w:ascii="Times New Roman" w:hAnsi="Times New Roman" w:cs="Times New Roman"/>
          <w:sz w:val="24"/>
        </w:rPr>
        <w:t xml:space="preserve"> Recursive dollar and ruble coefficient estimates in Tajikistan.</w:t>
      </w:r>
    </w:p>
    <w:p w:rsidR="00744513" w:rsidRPr="0074218E" w:rsidRDefault="00744513" w:rsidP="00744513">
      <w:pPr>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As for the 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the dollar’s influence declined until the late 1990s and then increased steadily. The ruble’s influence has been insignificant since the 1998 crisis but has been intensifying since 2003. Overall, the dollar has had more of an impact than the ruble has, but neither currency is very influential (Figure 7). </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Perhaps the dollar’s influence on the Uzbekistan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weakened during the 2000s because the Central Bank of Uzbekistan committed at that time to making the </w:t>
      </w:r>
      <w:proofErr w:type="spellStart"/>
      <w:r w:rsidRPr="0074218E">
        <w:rPr>
          <w:rFonts w:ascii="Times New Roman" w:hAnsi="Times New Roman" w:cs="Times New Roman"/>
          <w:sz w:val="24"/>
        </w:rPr>
        <w:t>som</w:t>
      </w:r>
      <w:proofErr w:type="spellEnd"/>
      <w:r w:rsidRPr="0074218E">
        <w:rPr>
          <w:rFonts w:ascii="Times New Roman" w:hAnsi="Times New Roman" w:cs="Times New Roman"/>
          <w:sz w:val="24"/>
        </w:rPr>
        <w:t xml:space="preserve"> convertible for current account transactions </w:t>
      </w:r>
      <w:proofErr w:type="gramStart"/>
      <w:r w:rsidRPr="0074218E">
        <w:rPr>
          <w:rFonts w:ascii="Times New Roman" w:hAnsi="Times New Roman" w:cs="Times New Roman"/>
          <w:sz w:val="24"/>
        </w:rPr>
        <w:t>in order to</w:t>
      </w:r>
      <w:proofErr w:type="gramEnd"/>
      <w:r w:rsidRPr="0074218E">
        <w:rPr>
          <w:rFonts w:ascii="Times New Roman" w:hAnsi="Times New Roman" w:cs="Times New Roman"/>
          <w:sz w:val="24"/>
        </w:rPr>
        <w:t xml:space="preserve"> improve the balance of trade as well as </w:t>
      </w:r>
      <w:r>
        <w:rPr>
          <w:rFonts w:ascii="Times New Roman" w:hAnsi="Times New Roman" w:cs="Times New Roman"/>
          <w:sz w:val="24"/>
        </w:rPr>
        <w:t xml:space="preserve">to </w:t>
      </w:r>
      <w:r w:rsidRPr="0074218E">
        <w:rPr>
          <w:rFonts w:ascii="Times New Roman" w:hAnsi="Times New Roman" w:cs="Times New Roman"/>
          <w:sz w:val="24"/>
        </w:rPr>
        <w:t>speed up industrialization. Policymakers a</w:t>
      </w:r>
      <w:r>
        <w:rPr>
          <w:rFonts w:ascii="Times New Roman" w:hAnsi="Times New Roman" w:cs="Times New Roman"/>
          <w:sz w:val="24"/>
        </w:rPr>
        <w:t xml:space="preserve">ccepted the </w:t>
      </w:r>
      <w:r w:rsidRPr="0074218E">
        <w:rPr>
          <w:rFonts w:ascii="Times New Roman" w:hAnsi="Times New Roman" w:cs="Times New Roman"/>
          <w:sz w:val="24"/>
        </w:rPr>
        <w:t>Article VIII</w:t>
      </w:r>
      <w:r>
        <w:rPr>
          <w:rFonts w:ascii="Times New Roman" w:hAnsi="Times New Roman" w:cs="Times New Roman"/>
          <w:sz w:val="24"/>
        </w:rPr>
        <w:t xml:space="preserve"> obligations</w:t>
      </w:r>
      <w:r w:rsidRPr="0074218E">
        <w:rPr>
          <w:rFonts w:ascii="Times New Roman" w:hAnsi="Times New Roman" w:cs="Times New Roman"/>
          <w:sz w:val="24"/>
        </w:rPr>
        <w:t xml:space="preserve"> of the </w:t>
      </w:r>
      <w:r>
        <w:rPr>
          <w:rFonts w:ascii="Times New Roman" w:hAnsi="Times New Roman" w:cs="Times New Roman"/>
          <w:sz w:val="24"/>
        </w:rPr>
        <w:t xml:space="preserve">Articles of Agreement of the </w:t>
      </w:r>
      <w:r w:rsidRPr="0074218E">
        <w:rPr>
          <w:rFonts w:ascii="Times New Roman" w:hAnsi="Times New Roman" w:cs="Times New Roman"/>
          <w:sz w:val="24"/>
        </w:rPr>
        <w:t>International Monetary Fund</w:t>
      </w:r>
      <w:r>
        <w:rPr>
          <w:rFonts w:ascii="Times New Roman" w:hAnsi="Times New Roman" w:cs="Times New Roman"/>
          <w:sz w:val="24"/>
        </w:rPr>
        <w:t xml:space="preserve"> (</w:t>
      </w:r>
      <w:r w:rsidRPr="0074218E">
        <w:rPr>
          <w:rFonts w:ascii="Times New Roman" w:hAnsi="Times New Roman" w:cs="Times New Roman"/>
          <w:sz w:val="24"/>
        </w:rPr>
        <w:t xml:space="preserve">IMF) </w:t>
      </w:r>
      <w:r>
        <w:rPr>
          <w:rFonts w:ascii="Times New Roman" w:hAnsi="Times New Roman" w:cs="Times New Roman"/>
          <w:sz w:val="24"/>
        </w:rPr>
        <w:t xml:space="preserve">that relate to </w:t>
      </w:r>
      <w:r w:rsidRPr="0074218E">
        <w:rPr>
          <w:rFonts w:ascii="Times New Roman" w:hAnsi="Times New Roman" w:cs="Times New Roman"/>
          <w:sz w:val="24"/>
        </w:rPr>
        <w:t>currency convertibility</w:t>
      </w:r>
      <w:r>
        <w:rPr>
          <w:rFonts w:ascii="Times New Roman" w:hAnsi="Times New Roman" w:cs="Times New Roman"/>
          <w:sz w:val="24"/>
        </w:rPr>
        <w:t>;</w:t>
      </w:r>
      <w:r>
        <w:rPr>
          <w:rStyle w:val="ab"/>
          <w:rFonts w:ascii="Times New Roman" w:hAnsi="Times New Roman" w:cs="Times New Roman"/>
          <w:sz w:val="24"/>
        </w:rPr>
        <w:footnoteReference w:id="12"/>
      </w:r>
      <w:r w:rsidRPr="0074218E">
        <w:rPr>
          <w:rFonts w:ascii="Times New Roman" w:hAnsi="Times New Roman" w:cs="Times New Roman"/>
          <w:sz w:val="24"/>
        </w:rPr>
        <w:t xml:space="preserve"> unified the official and parallel market exchange rates; increased access to and sale of foreign exchange; and promoted investment in exporting and in import substitution. These measures liberalized foreign exchange markets (</w:t>
      </w:r>
      <w:proofErr w:type="spellStart"/>
      <w:r w:rsidRPr="0074218E">
        <w:rPr>
          <w:rFonts w:ascii="Times New Roman" w:hAnsi="Times New Roman" w:cs="Times New Roman"/>
          <w:sz w:val="24"/>
        </w:rPr>
        <w:t>Bakhromov</w:t>
      </w:r>
      <w:proofErr w:type="spellEnd"/>
      <w:r>
        <w:rPr>
          <w:rFonts w:ascii="Times New Roman" w:hAnsi="Times New Roman" w:cs="Times New Roman"/>
          <w:sz w:val="24"/>
        </w:rPr>
        <w:t>,</w:t>
      </w:r>
      <w:r w:rsidRPr="0074218E">
        <w:rPr>
          <w:rFonts w:ascii="Times New Roman" w:hAnsi="Times New Roman" w:cs="Times New Roman"/>
          <w:sz w:val="24"/>
        </w:rPr>
        <w:t xml:space="preserve"> 2011; </w:t>
      </w:r>
      <w:proofErr w:type="spellStart"/>
      <w:r w:rsidRPr="0074218E">
        <w:rPr>
          <w:rFonts w:ascii="Times New Roman" w:hAnsi="Times New Roman" w:cs="Times New Roman"/>
          <w:sz w:val="24"/>
        </w:rPr>
        <w:t>Olimov</w:t>
      </w:r>
      <w:proofErr w:type="spellEnd"/>
      <w:r w:rsidRPr="0074218E">
        <w:rPr>
          <w:rFonts w:ascii="Times New Roman" w:hAnsi="Times New Roman" w:cs="Times New Roman"/>
          <w:sz w:val="24"/>
        </w:rPr>
        <w:t xml:space="preserve"> and </w:t>
      </w:r>
      <w:proofErr w:type="spellStart"/>
      <w:r w:rsidRPr="0074218E">
        <w:rPr>
          <w:rFonts w:ascii="Times New Roman" w:hAnsi="Times New Roman" w:cs="Times New Roman"/>
          <w:sz w:val="24"/>
        </w:rPr>
        <w:t>Sirajiddinov</w:t>
      </w:r>
      <w:proofErr w:type="spellEnd"/>
      <w:r>
        <w:rPr>
          <w:rFonts w:ascii="Times New Roman" w:hAnsi="Times New Roman" w:cs="Times New Roman"/>
          <w:sz w:val="24"/>
        </w:rPr>
        <w:t>,</w:t>
      </w:r>
      <w:r w:rsidRPr="0074218E">
        <w:rPr>
          <w:rFonts w:ascii="Times New Roman" w:hAnsi="Times New Roman" w:cs="Times New Roman"/>
          <w:sz w:val="24"/>
        </w:rPr>
        <w:t xml:space="preserve"> 2008) and so may have reduced the dollar’s influence. </w:t>
      </w:r>
    </w:p>
    <w:p w:rsidR="00744513" w:rsidRDefault="00744513" w:rsidP="00744513">
      <w:pPr>
        <w:jc w:val="center"/>
      </w:pPr>
      <w:r>
        <w:rPr>
          <w:noProof/>
        </w:rPr>
        <w:lastRenderedPageBreak/>
        <w:drawing>
          <wp:inline distT="0" distB="0" distL="0" distR="0" wp14:anchorId="11B7C0E9" wp14:editId="51705820">
            <wp:extent cx="5800725" cy="24860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5800725" cy="2486025"/>
                    </a:xfrm>
                    <a:prstGeom prst="rect">
                      <a:avLst/>
                    </a:prstGeom>
                    <a:noFill/>
                    <a:ln w="9525">
                      <a:noFill/>
                      <a:miter lim="800000"/>
                      <a:headEnd/>
                      <a:tailEnd/>
                    </a:ln>
                  </pic:spPr>
                </pic:pic>
              </a:graphicData>
            </a:graphic>
          </wp:inline>
        </w:drawing>
      </w:r>
    </w:p>
    <w:p w:rsidR="00744513" w:rsidRPr="0074218E" w:rsidRDefault="00744513" w:rsidP="00744513">
      <w:pPr>
        <w:jc w:val="center"/>
      </w:pPr>
    </w:p>
    <w:p w:rsidR="00744513" w:rsidRPr="0074218E" w:rsidRDefault="00744513" w:rsidP="00744513">
      <w:pPr>
        <w:jc w:val="center"/>
        <w:rPr>
          <w:rFonts w:ascii="Times New Roman" w:hAnsi="Times New Roman" w:cs="Times New Roman"/>
          <w:sz w:val="24"/>
        </w:rPr>
      </w:pPr>
      <w:r>
        <w:rPr>
          <w:rFonts w:ascii="Times New Roman" w:hAnsi="Times New Roman" w:cs="Times New Roman"/>
          <w:sz w:val="24"/>
        </w:rPr>
        <w:t>Figure 7:</w:t>
      </w:r>
      <w:r w:rsidRPr="0074218E">
        <w:rPr>
          <w:rFonts w:ascii="Times New Roman" w:hAnsi="Times New Roman" w:cs="Times New Roman"/>
          <w:sz w:val="24"/>
        </w:rPr>
        <w:t xml:space="preserve"> Recursive dollar and ruble coefficient estimates in Uzbekistan.</w:t>
      </w:r>
    </w:p>
    <w:p w:rsidR="00744513" w:rsidRDefault="00744513" w:rsidP="00744513">
      <w:pPr>
        <w:ind w:firstLine="840"/>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In sum, recursive OLS estimation</w:t>
      </w:r>
      <w:r>
        <w:rPr>
          <w:rFonts w:ascii="Times New Roman" w:hAnsi="Times New Roman" w:cs="Times New Roman"/>
          <w:sz w:val="24"/>
        </w:rPr>
        <w:t>s</w:t>
      </w:r>
      <w:r w:rsidRPr="0074218E">
        <w:rPr>
          <w:rFonts w:ascii="Times New Roman" w:hAnsi="Times New Roman" w:cs="Times New Roman"/>
          <w:sz w:val="24"/>
        </w:rPr>
        <w:t xml:space="preserve"> suggest structural changes in the exchange rate movements of some currencies in Central Asia. The dollar’s influence is significant in Kazakhstan, Kyrgyzstan and Uzbekistan, although it has declined over time. </w:t>
      </w:r>
      <w:r>
        <w:rPr>
          <w:rFonts w:ascii="Times New Roman" w:hAnsi="Times New Roman" w:cs="Times New Roman"/>
          <w:sz w:val="24"/>
        </w:rPr>
        <w:t>T</w:t>
      </w:r>
      <w:r w:rsidRPr="0074218E">
        <w:rPr>
          <w:rFonts w:ascii="Times New Roman" w:hAnsi="Times New Roman" w:cs="Times New Roman"/>
          <w:sz w:val="24"/>
        </w:rPr>
        <w:t xml:space="preserve">he ruble’s influence </w:t>
      </w:r>
      <w:r>
        <w:rPr>
          <w:rFonts w:ascii="Times New Roman" w:hAnsi="Times New Roman" w:cs="Times New Roman"/>
          <w:sz w:val="24"/>
        </w:rPr>
        <w:t>is</w:t>
      </w:r>
      <w:r w:rsidRPr="0074218E">
        <w:rPr>
          <w:rFonts w:ascii="Times New Roman" w:hAnsi="Times New Roman" w:cs="Times New Roman"/>
          <w:sz w:val="24"/>
        </w:rPr>
        <w:t xml:space="preserve"> insignificant in Kazakhstan, Tajikistan and Uzbekistan but </w:t>
      </w:r>
      <w:r>
        <w:rPr>
          <w:rFonts w:ascii="Times New Roman" w:hAnsi="Times New Roman" w:cs="Times New Roman"/>
          <w:sz w:val="24"/>
        </w:rPr>
        <w:t xml:space="preserve">recently </w:t>
      </w:r>
      <w:r w:rsidRPr="0074218E">
        <w:rPr>
          <w:rFonts w:ascii="Times New Roman" w:hAnsi="Times New Roman" w:cs="Times New Roman"/>
          <w:sz w:val="24"/>
        </w:rPr>
        <w:t>intensif</w:t>
      </w:r>
      <w:r>
        <w:rPr>
          <w:rFonts w:ascii="Times New Roman" w:hAnsi="Times New Roman" w:cs="Times New Roman"/>
          <w:sz w:val="24"/>
        </w:rPr>
        <w:t xml:space="preserve">ied </w:t>
      </w:r>
      <w:r w:rsidRPr="0074218E">
        <w:rPr>
          <w:rFonts w:ascii="Times New Roman" w:hAnsi="Times New Roman" w:cs="Times New Roman"/>
          <w:sz w:val="24"/>
        </w:rPr>
        <w:t>in Kazakhstan, Kyrgyzstan and Uzbekistan.</w:t>
      </w:r>
    </w:p>
    <w:p w:rsidR="00744513" w:rsidRPr="0074218E" w:rsidRDefault="00744513" w:rsidP="00744513">
      <w:pPr>
        <w:rPr>
          <w:rFonts w:ascii="Times New Roman" w:hAnsi="Times New Roman" w:cs="Times New Roman"/>
          <w:color w:val="000000"/>
          <w:sz w:val="24"/>
        </w:rPr>
      </w:pPr>
    </w:p>
    <w:p w:rsidR="00744513" w:rsidRPr="0074218E" w:rsidRDefault="00744513" w:rsidP="00744513">
      <w:pPr>
        <w:rPr>
          <w:rFonts w:ascii="Times New Roman" w:hAnsi="Times New Roman" w:cs="Times New Roman"/>
          <w:b/>
          <w:sz w:val="28"/>
          <w:szCs w:val="28"/>
        </w:rPr>
      </w:pPr>
      <w:r w:rsidRPr="0074218E">
        <w:rPr>
          <w:rFonts w:ascii="Times New Roman" w:hAnsi="Times New Roman" w:cs="Times New Roman"/>
          <w:b/>
          <w:sz w:val="28"/>
          <w:szCs w:val="28"/>
        </w:rPr>
        <w:t>4. Conclusion</w:t>
      </w:r>
    </w:p>
    <w:p w:rsidR="00744513" w:rsidRPr="0074218E" w:rsidRDefault="00744513" w:rsidP="00744513">
      <w:pPr>
        <w:rPr>
          <w:rFonts w:ascii="Times New Roman" w:hAnsi="Times New Roman" w:cs="Times New Roman"/>
          <w:sz w:val="24"/>
        </w:rPr>
      </w:pP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Central Asian countries have been orienting their economies towards markets, with monetary autonomy, since the introduction of national currencies.</w:t>
      </w:r>
      <w:r>
        <w:rPr>
          <w:rFonts w:ascii="Times New Roman" w:hAnsi="Times New Roman" w:cs="Times New Roman"/>
          <w:sz w:val="24"/>
        </w:rPr>
        <w:t xml:space="preserve"> This paper</w:t>
      </w:r>
      <w:r w:rsidRPr="0074218E">
        <w:rPr>
          <w:rFonts w:ascii="Times New Roman" w:hAnsi="Times New Roman" w:cs="Times New Roman"/>
          <w:sz w:val="24"/>
        </w:rPr>
        <w:t xml:space="preserve"> examined the</w:t>
      </w:r>
      <w:r>
        <w:rPr>
          <w:rFonts w:ascii="Times New Roman" w:hAnsi="Times New Roman" w:cs="Times New Roman"/>
          <w:sz w:val="24"/>
        </w:rPr>
        <w:t xml:space="preserve"> </w:t>
      </w:r>
      <w:r w:rsidRPr="0074218E">
        <w:rPr>
          <w:rFonts w:ascii="Times New Roman" w:hAnsi="Times New Roman" w:cs="Times New Roman"/>
          <w:sz w:val="24"/>
        </w:rPr>
        <w:t>influence of the world’s major currencies on exchange rate arrangements in Kazakhstan, Kyrgyzstan, Tajikistan and Uzbekistan over the period from June 1995</w:t>
      </w:r>
      <w:r>
        <w:rPr>
          <w:rFonts w:ascii="Times New Roman" w:hAnsi="Times New Roman" w:cs="Times New Roman"/>
          <w:sz w:val="24"/>
        </w:rPr>
        <w:t xml:space="preserve"> through</w:t>
      </w:r>
      <w:r w:rsidRPr="0074218E">
        <w:rPr>
          <w:rFonts w:ascii="Times New Roman" w:hAnsi="Times New Roman" w:cs="Times New Roman"/>
          <w:sz w:val="24"/>
        </w:rPr>
        <w:t xml:space="preserve"> December 2014</w:t>
      </w:r>
      <w:r>
        <w:rPr>
          <w:rFonts w:ascii="Times New Roman" w:hAnsi="Times New Roman" w:cs="Times New Roman"/>
          <w:sz w:val="24"/>
        </w:rPr>
        <w:t>. E</w:t>
      </w:r>
      <w:r w:rsidRPr="0074218E">
        <w:rPr>
          <w:rFonts w:ascii="Times New Roman" w:hAnsi="Times New Roman" w:cs="Times New Roman"/>
          <w:sz w:val="24"/>
        </w:rPr>
        <w:t>mpirical evidence show</w:t>
      </w:r>
      <w:r>
        <w:rPr>
          <w:rFonts w:ascii="Times New Roman" w:hAnsi="Times New Roman" w:cs="Times New Roman"/>
          <w:sz w:val="24"/>
        </w:rPr>
        <w:t>s</w:t>
      </w:r>
      <w:r w:rsidRPr="0074218E">
        <w:rPr>
          <w:rFonts w:ascii="Times New Roman" w:hAnsi="Times New Roman" w:cs="Times New Roman"/>
          <w:sz w:val="24"/>
        </w:rPr>
        <w:t xml:space="preserve"> that</w:t>
      </w:r>
      <w:r>
        <w:rPr>
          <w:rFonts w:ascii="Times New Roman" w:hAnsi="Times New Roman" w:cs="Times New Roman"/>
          <w:color w:val="000000"/>
          <w:sz w:val="24"/>
        </w:rPr>
        <w:t xml:space="preserve"> the </w:t>
      </w:r>
      <w:proofErr w:type="spellStart"/>
      <w:r>
        <w:rPr>
          <w:rFonts w:ascii="Times New Roman" w:hAnsi="Times New Roman" w:cs="Times New Roman"/>
          <w:color w:val="000000"/>
          <w:sz w:val="24"/>
        </w:rPr>
        <w:t>tenge</w:t>
      </w:r>
      <w:proofErr w:type="spellEnd"/>
      <w:r>
        <w:rPr>
          <w:rFonts w:ascii="Times New Roman" w:hAnsi="Times New Roman" w:cs="Times New Roman"/>
          <w:color w:val="000000"/>
          <w:sz w:val="24"/>
        </w:rPr>
        <w:t xml:space="preserve">, the </w:t>
      </w:r>
      <w:r w:rsidRPr="0074218E">
        <w:rPr>
          <w:rFonts w:ascii="Times New Roman" w:hAnsi="Times New Roman" w:cs="Times New Roman"/>
          <w:color w:val="000000"/>
          <w:sz w:val="24"/>
        </w:rPr>
        <w:t xml:space="preserve">somoni, and the Uzbekistan </w:t>
      </w:r>
      <w:proofErr w:type="spellStart"/>
      <w:r w:rsidRPr="0074218E">
        <w:rPr>
          <w:rFonts w:ascii="Times New Roman" w:hAnsi="Times New Roman" w:cs="Times New Roman"/>
          <w:color w:val="000000"/>
          <w:sz w:val="24"/>
        </w:rPr>
        <w:t>som</w:t>
      </w:r>
      <w:proofErr w:type="spellEnd"/>
      <w:r w:rsidRPr="0074218E">
        <w:rPr>
          <w:rFonts w:ascii="Times New Roman" w:hAnsi="Times New Roman" w:cs="Times New Roman"/>
          <w:color w:val="000000"/>
          <w:sz w:val="24"/>
        </w:rPr>
        <w:t xml:space="preserve"> might follow a basket of regressed currencies. </w:t>
      </w:r>
      <w:r w:rsidRPr="0074218E">
        <w:rPr>
          <w:rFonts w:ascii="Times New Roman" w:hAnsi="Times New Roman" w:cs="Times New Roman"/>
          <w:sz w:val="24"/>
        </w:rPr>
        <w:t xml:space="preserve">The dollar’s influence is significant in all countries but has fallen over time. The ruble’s influence is insignificant in Kazakhstan, Tajikistan and Uzbekistan. It is </w:t>
      </w:r>
      <w:r>
        <w:rPr>
          <w:rFonts w:ascii="Times New Roman" w:hAnsi="Times New Roman" w:cs="Times New Roman"/>
          <w:sz w:val="24"/>
        </w:rPr>
        <w:t xml:space="preserve">statistically </w:t>
      </w:r>
      <w:r w:rsidRPr="0074218E">
        <w:rPr>
          <w:rFonts w:ascii="Times New Roman" w:hAnsi="Times New Roman" w:cs="Times New Roman"/>
          <w:sz w:val="24"/>
        </w:rPr>
        <w:t xml:space="preserve">significant in Kyrgyzstan but </w:t>
      </w:r>
      <w:r>
        <w:rPr>
          <w:rFonts w:ascii="Times New Roman" w:hAnsi="Times New Roman" w:cs="Times New Roman"/>
          <w:sz w:val="24"/>
        </w:rPr>
        <w:t xml:space="preserve">in practical terms less significant </w:t>
      </w:r>
      <w:r w:rsidRPr="0074218E">
        <w:rPr>
          <w:rFonts w:ascii="Times New Roman" w:hAnsi="Times New Roman" w:cs="Times New Roman"/>
          <w:sz w:val="24"/>
        </w:rPr>
        <w:t>than the dollar.</w:t>
      </w:r>
    </w:p>
    <w:p w:rsidR="00744513" w:rsidRPr="0074218E" w:rsidRDefault="00744513" w:rsidP="00744513">
      <w:pPr>
        <w:ind w:firstLine="840"/>
        <w:rPr>
          <w:rFonts w:ascii="Times New Roman" w:hAnsi="Times New Roman" w:cs="Times New Roman"/>
          <w:sz w:val="24"/>
        </w:rPr>
      </w:pPr>
      <w:r w:rsidRPr="0074218E">
        <w:rPr>
          <w:rFonts w:ascii="Times New Roman" w:hAnsi="Times New Roman" w:cs="Times New Roman"/>
          <w:sz w:val="24"/>
        </w:rPr>
        <w:t xml:space="preserve">In addition, a long-run equilibrium relationship </w:t>
      </w:r>
      <w:r>
        <w:rPr>
          <w:rFonts w:ascii="Times New Roman" w:hAnsi="Times New Roman" w:cs="Times New Roman"/>
          <w:sz w:val="24"/>
        </w:rPr>
        <w:t xml:space="preserve">exists </w:t>
      </w:r>
      <w:r w:rsidRPr="0074218E">
        <w:rPr>
          <w:rFonts w:ascii="Times New Roman" w:hAnsi="Times New Roman" w:cs="Times New Roman"/>
          <w:sz w:val="24"/>
        </w:rPr>
        <w:t xml:space="preserve">between national currencies in Central Asia and the world’s major currencies.        </w:t>
      </w:r>
    </w:p>
    <w:p w:rsidR="00744513" w:rsidRDefault="00744513" w:rsidP="00744513">
      <w:pPr>
        <w:ind w:firstLine="840"/>
        <w:rPr>
          <w:rFonts w:ascii="Times New Roman" w:hAnsi="Times New Roman" w:cs="Times New Roman"/>
          <w:sz w:val="24"/>
        </w:rPr>
      </w:pPr>
      <w:r>
        <w:rPr>
          <w:rFonts w:ascii="Times New Roman" w:hAnsi="Times New Roman" w:cs="Times New Roman"/>
          <w:sz w:val="24"/>
        </w:rPr>
        <w:t>R</w:t>
      </w:r>
      <w:r w:rsidRPr="0074218E">
        <w:rPr>
          <w:rFonts w:ascii="Times New Roman" w:hAnsi="Times New Roman" w:cs="Times New Roman"/>
          <w:sz w:val="24"/>
        </w:rPr>
        <w:t xml:space="preserve">esearch is needed to identify the sources of influence of the dollar and the ruble. Two sources are plausible: </w:t>
      </w:r>
      <w:r>
        <w:rPr>
          <w:rFonts w:ascii="Times New Roman" w:hAnsi="Times New Roman" w:cs="Times New Roman"/>
          <w:sz w:val="24"/>
        </w:rPr>
        <w:t>D</w:t>
      </w:r>
      <w:r w:rsidRPr="0074218E">
        <w:rPr>
          <w:rFonts w:ascii="Times New Roman" w:hAnsi="Times New Roman" w:cs="Times New Roman"/>
          <w:sz w:val="24"/>
        </w:rPr>
        <w:t>iscretionary exchange rate management by central banks</w:t>
      </w:r>
      <w:r>
        <w:rPr>
          <w:rFonts w:ascii="Times New Roman" w:hAnsi="Times New Roman" w:cs="Times New Roman"/>
          <w:sz w:val="24"/>
        </w:rPr>
        <w:t>;</w:t>
      </w:r>
      <w:r w:rsidRPr="0074218E">
        <w:rPr>
          <w:rFonts w:ascii="Times New Roman" w:hAnsi="Times New Roman" w:cs="Times New Roman"/>
          <w:sz w:val="24"/>
        </w:rPr>
        <w:t xml:space="preserve"> and market-driv</w:t>
      </w:r>
      <w:r>
        <w:rPr>
          <w:rFonts w:ascii="Times New Roman" w:hAnsi="Times New Roman" w:cs="Times New Roman"/>
          <w:sz w:val="24"/>
        </w:rPr>
        <w:t xml:space="preserve">en factors associated with </w:t>
      </w:r>
      <w:r w:rsidRPr="0074218E">
        <w:rPr>
          <w:rFonts w:ascii="Times New Roman" w:hAnsi="Times New Roman" w:cs="Times New Roman"/>
          <w:sz w:val="24"/>
        </w:rPr>
        <w:t xml:space="preserve">economic conditions. </w:t>
      </w:r>
    </w:p>
    <w:p w:rsidR="00744513" w:rsidRDefault="00744513" w:rsidP="00744513">
      <w:pPr>
        <w:ind w:firstLine="840"/>
        <w:rPr>
          <w:rFonts w:ascii="Times New Roman" w:hAnsi="Times New Roman" w:cs="Times New Roman"/>
          <w:b/>
          <w:sz w:val="28"/>
          <w:szCs w:val="28"/>
        </w:rPr>
      </w:pPr>
    </w:p>
    <w:p w:rsidR="00744513" w:rsidRPr="00163DD9" w:rsidRDefault="00744513" w:rsidP="00744513">
      <w:pPr>
        <w:ind w:firstLine="840"/>
        <w:rPr>
          <w:rFonts w:ascii="Times New Roman" w:hAnsi="Times New Roman" w:cs="Times New Roman"/>
          <w:b/>
          <w:i/>
          <w:sz w:val="24"/>
        </w:rPr>
      </w:pPr>
      <w:proofErr w:type="spellStart"/>
      <w:r w:rsidRPr="00163DD9">
        <w:rPr>
          <w:rFonts w:ascii="Times New Roman" w:hAnsi="Times New Roman" w:cs="Times New Roman"/>
          <w:i/>
          <w:sz w:val="24"/>
          <w:lang w:eastAsia="zh-CN"/>
        </w:rPr>
        <w:t>Bekzod</w:t>
      </w:r>
      <w:proofErr w:type="spellEnd"/>
      <w:r w:rsidRPr="00163DD9">
        <w:rPr>
          <w:rFonts w:ascii="Times New Roman" w:hAnsi="Times New Roman" w:cs="Times New Roman"/>
          <w:i/>
          <w:sz w:val="24"/>
          <w:lang w:eastAsia="zh-CN"/>
        </w:rPr>
        <w:t xml:space="preserve"> </w:t>
      </w:r>
      <w:proofErr w:type="spellStart"/>
      <w:r w:rsidRPr="00163DD9">
        <w:rPr>
          <w:rFonts w:ascii="Times New Roman" w:hAnsi="Times New Roman" w:cs="Times New Roman"/>
          <w:i/>
          <w:sz w:val="24"/>
          <w:lang w:eastAsia="zh-CN"/>
        </w:rPr>
        <w:t>Shamshiev</w:t>
      </w:r>
      <w:proofErr w:type="spellEnd"/>
      <w:r w:rsidRPr="00163DD9">
        <w:rPr>
          <w:rFonts w:ascii="Times New Roman" w:hAnsi="Times New Roman" w:cs="Times New Roman"/>
          <w:i/>
          <w:sz w:val="24"/>
          <w:lang w:eastAsia="zh-CN"/>
        </w:rPr>
        <w:t xml:space="preserve"> is a professor at the Banking</w:t>
      </w:r>
      <w:r>
        <w:rPr>
          <w:rFonts w:ascii="Times New Roman" w:hAnsi="Times New Roman" w:cs="Times New Roman"/>
          <w:i/>
          <w:sz w:val="24"/>
          <w:lang w:eastAsia="zh-CN"/>
        </w:rPr>
        <w:t xml:space="preserve"> and</w:t>
      </w:r>
      <w:r w:rsidRPr="00B32563">
        <w:rPr>
          <w:rFonts w:ascii="Times New Roman" w:hAnsi="Times New Roman" w:cs="Times New Roman"/>
          <w:i/>
          <w:sz w:val="24"/>
          <w:lang w:eastAsia="zh-CN"/>
        </w:rPr>
        <w:t xml:space="preserve"> </w:t>
      </w:r>
      <w:r w:rsidRPr="00163DD9">
        <w:rPr>
          <w:rFonts w:ascii="Times New Roman" w:hAnsi="Times New Roman" w:cs="Times New Roman"/>
          <w:i/>
          <w:sz w:val="24"/>
          <w:lang w:eastAsia="zh-CN"/>
        </w:rPr>
        <w:t xml:space="preserve">Finance Academy in </w:t>
      </w:r>
      <w:r>
        <w:rPr>
          <w:rFonts w:ascii="Times New Roman" w:hAnsi="Times New Roman" w:cs="Times New Roman"/>
          <w:i/>
          <w:sz w:val="24"/>
          <w:lang w:eastAsia="zh-CN"/>
        </w:rPr>
        <w:t xml:space="preserve">Tashkent, </w:t>
      </w:r>
      <w:r w:rsidRPr="00163DD9">
        <w:rPr>
          <w:rFonts w:ascii="Times New Roman" w:hAnsi="Times New Roman" w:cs="Times New Roman"/>
          <w:i/>
          <w:sz w:val="24"/>
          <w:lang w:eastAsia="zh-CN"/>
        </w:rPr>
        <w:t xml:space="preserve">Uzbekistan. He </w:t>
      </w:r>
      <w:r>
        <w:rPr>
          <w:rFonts w:ascii="Times New Roman" w:hAnsi="Times New Roman" w:cs="Times New Roman"/>
          <w:i/>
          <w:sz w:val="24"/>
          <w:lang w:eastAsia="zh-CN"/>
        </w:rPr>
        <w:t>received his m</w:t>
      </w:r>
      <w:r w:rsidRPr="00163DD9">
        <w:rPr>
          <w:rFonts w:ascii="Times New Roman" w:hAnsi="Times New Roman" w:cs="Times New Roman"/>
          <w:i/>
          <w:sz w:val="24"/>
          <w:lang w:eastAsia="zh-CN"/>
        </w:rPr>
        <w:t>aster’s degree in international development from the International University of Japan</w:t>
      </w:r>
      <w:r>
        <w:rPr>
          <w:rFonts w:ascii="Times New Roman" w:hAnsi="Times New Roman" w:cs="Times New Roman"/>
          <w:i/>
          <w:sz w:val="24"/>
          <w:lang w:eastAsia="zh-CN"/>
        </w:rPr>
        <w:t xml:space="preserve"> in Niigata</w:t>
      </w:r>
      <w:r w:rsidRPr="00163DD9">
        <w:rPr>
          <w:rFonts w:ascii="Times New Roman" w:hAnsi="Times New Roman" w:cs="Times New Roman"/>
          <w:i/>
          <w:sz w:val="24"/>
          <w:lang w:eastAsia="zh-CN"/>
        </w:rPr>
        <w:t>.</w:t>
      </w:r>
    </w:p>
    <w:p w:rsidR="00744513" w:rsidRDefault="00744513" w:rsidP="00744513">
      <w:pPr>
        <w:spacing w:line="480" w:lineRule="auto"/>
        <w:rPr>
          <w:rFonts w:ascii="Times New Roman" w:hAnsi="Times New Roman" w:cs="Times New Roman"/>
          <w:b/>
          <w:sz w:val="28"/>
          <w:szCs w:val="28"/>
        </w:rPr>
      </w:pPr>
    </w:p>
    <w:p w:rsidR="00744513" w:rsidRDefault="00744513" w:rsidP="00744513">
      <w:pPr>
        <w:spacing w:line="480" w:lineRule="auto"/>
        <w:rPr>
          <w:rFonts w:ascii="Times New Roman" w:hAnsi="Times New Roman" w:cs="Times New Roman"/>
          <w:b/>
          <w:sz w:val="28"/>
          <w:szCs w:val="28"/>
        </w:rPr>
      </w:pPr>
      <w:r w:rsidRPr="0074218E">
        <w:rPr>
          <w:rFonts w:ascii="Times New Roman" w:hAnsi="Times New Roman" w:cs="Times New Roman"/>
          <w:b/>
          <w:sz w:val="28"/>
          <w:szCs w:val="28"/>
        </w:rPr>
        <w:t>5. References</w:t>
      </w:r>
      <w:r>
        <w:rPr>
          <w:rFonts w:ascii="Times New Roman" w:hAnsi="Times New Roman" w:cs="Times New Roman"/>
          <w:b/>
          <w:sz w:val="28"/>
          <w:szCs w:val="28"/>
        </w:rPr>
        <w:t xml:space="preserve"> </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proofErr w:type="spellStart"/>
      <w:r w:rsidRPr="006A6DD2">
        <w:rPr>
          <w:rFonts w:ascii="Times New Roman" w:hAnsi="Times New Roman" w:cs="Times New Roman"/>
          <w:sz w:val="24"/>
        </w:rPr>
        <w:lastRenderedPageBreak/>
        <w:t>Alturky</w:t>
      </w:r>
      <w:proofErr w:type="spellEnd"/>
      <w:r>
        <w:rPr>
          <w:rFonts w:ascii="Times New Roman" w:hAnsi="Times New Roman" w:cs="Times New Roman"/>
          <w:sz w:val="24"/>
        </w:rPr>
        <w:t>,</w:t>
      </w:r>
      <w:r w:rsidRPr="006A6DD2">
        <w:rPr>
          <w:rFonts w:ascii="Times New Roman" w:hAnsi="Times New Roman" w:cs="Times New Roman"/>
          <w:sz w:val="24"/>
        </w:rPr>
        <w:t xml:space="preserve"> F., Espinosa-Bowen</w:t>
      </w:r>
      <w:r>
        <w:rPr>
          <w:rFonts w:ascii="Times New Roman" w:hAnsi="Times New Roman" w:cs="Times New Roman"/>
          <w:sz w:val="24"/>
        </w:rPr>
        <w:t>,</w:t>
      </w:r>
      <w:r w:rsidRPr="006A6DD2">
        <w:rPr>
          <w:rFonts w:ascii="Times New Roman" w:hAnsi="Times New Roman" w:cs="Times New Roman"/>
          <w:sz w:val="24"/>
        </w:rPr>
        <w:t xml:space="preserve"> J., and </w:t>
      </w:r>
      <w:proofErr w:type="spellStart"/>
      <w:r w:rsidRPr="006A6DD2">
        <w:rPr>
          <w:rFonts w:ascii="Times New Roman" w:hAnsi="Times New Roman" w:cs="Times New Roman"/>
          <w:sz w:val="24"/>
        </w:rPr>
        <w:t>Ilahi</w:t>
      </w:r>
      <w:proofErr w:type="spellEnd"/>
      <w:r>
        <w:rPr>
          <w:rFonts w:ascii="Times New Roman" w:hAnsi="Times New Roman" w:cs="Times New Roman"/>
          <w:sz w:val="24"/>
        </w:rPr>
        <w:t xml:space="preserve">, N. (2009), “How Russia affects the </w:t>
      </w:r>
      <w:proofErr w:type="spellStart"/>
      <w:r>
        <w:rPr>
          <w:rFonts w:ascii="Times New Roman" w:hAnsi="Times New Roman" w:cs="Times New Roman"/>
          <w:sz w:val="24"/>
        </w:rPr>
        <w:t>neighbourhood</w:t>
      </w:r>
      <w:proofErr w:type="spellEnd"/>
      <w:r>
        <w:rPr>
          <w:rFonts w:ascii="Times New Roman" w:hAnsi="Times New Roman" w:cs="Times New Roman"/>
          <w:sz w:val="24"/>
        </w:rPr>
        <w:t>: Trade, financial and remittance c</w:t>
      </w:r>
      <w:r w:rsidRPr="006A6DD2">
        <w:rPr>
          <w:rFonts w:ascii="Times New Roman" w:hAnsi="Times New Roman" w:cs="Times New Roman"/>
          <w:sz w:val="24"/>
        </w:rPr>
        <w:t xml:space="preserve">hannels,” </w:t>
      </w:r>
      <w:r w:rsidRPr="00171E4E">
        <w:rPr>
          <w:rFonts w:ascii="Times New Roman" w:hAnsi="Times New Roman" w:cs="Times New Roman"/>
          <w:sz w:val="24"/>
        </w:rPr>
        <w:t>IMF Working Paper 09/277</w:t>
      </w:r>
      <w:r w:rsidRPr="006A6DD2">
        <w:rPr>
          <w:rFonts w:ascii="Times New Roman" w:hAnsi="Times New Roman" w:cs="Times New Roman"/>
          <w:sz w:val="24"/>
        </w:rPr>
        <w:t xml:space="preserve">  </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proofErr w:type="spellStart"/>
      <w:r w:rsidRPr="006A6DD2">
        <w:rPr>
          <w:rFonts w:ascii="Times New Roman" w:hAnsi="Times New Roman" w:cs="Times New Roman"/>
          <w:sz w:val="24"/>
        </w:rPr>
        <w:t>Baig</w:t>
      </w:r>
      <w:proofErr w:type="spellEnd"/>
      <w:r>
        <w:rPr>
          <w:rFonts w:ascii="Times New Roman" w:hAnsi="Times New Roman" w:cs="Times New Roman"/>
          <w:sz w:val="24"/>
        </w:rPr>
        <w:t>, T. (2001), “Characterizing exchange rate regimes in post c</w:t>
      </w:r>
      <w:r w:rsidRPr="006A6DD2">
        <w:rPr>
          <w:rFonts w:ascii="Times New Roman" w:hAnsi="Times New Roman" w:cs="Times New Roman"/>
          <w:sz w:val="24"/>
        </w:rPr>
        <w:t xml:space="preserve">risis East Asia,” </w:t>
      </w:r>
      <w:r w:rsidRPr="00171E4E">
        <w:rPr>
          <w:rFonts w:ascii="Times New Roman" w:hAnsi="Times New Roman" w:cs="Times New Roman"/>
          <w:sz w:val="24"/>
        </w:rPr>
        <w:t>IMF Working Paper 01/152</w:t>
      </w:r>
    </w:p>
    <w:p w:rsidR="00744513" w:rsidRPr="006A6DD2" w:rsidRDefault="00744513" w:rsidP="00744513">
      <w:pPr>
        <w:numPr>
          <w:ilvl w:val="0"/>
          <w:numId w:val="1"/>
        </w:numPr>
        <w:tabs>
          <w:tab w:val="clear" w:pos="1260"/>
          <w:tab w:val="num" w:pos="525"/>
        </w:tabs>
        <w:ind w:left="525" w:hanging="525"/>
        <w:rPr>
          <w:rFonts w:ascii="Times New Roman" w:hAnsi="Times New Roman" w:cs="Times New Roman"/>
          <w:sz w:val="24"/>
        </w:rPr>
      </w:pPr>
      <w:proofErr w:type="spellStart"/>
      <w:r w:rsidRPr="006A6DD2">
        <w:rPr>
          <w:rFonts w:ascii="Times New Roman" w:hAnsi="Times New Roman" w:cs="Times New Roman"/>
          <w:sz w:val="24"/>
        </w:rPr>
        <w:t>Bakhromov</w:t>
      </w:r>
      <w:proofErr w:type="spellEnd"/>
      <w:r w:rsidRPr="006A6DD2">
        <w:rPr>
          <w:rFonts w:ascii="Times New Roman" w:hAnsi="Times New Roman" w:cs="Times New Roman"/>
          <w:sz w:val="24"/>
        </w:rPr>
        <w:t xml:space="preserve">, N. (2011), “The </w:t>
      </w:r>
      <w:r>
        <w:rPr>
          <w:rFonts w:ascii="Times New Roman" w:hAnsi="Times New Roman" w:cs="Times New Roman"/>
          <w:sz w:val="24"/>
        </w:rPr>
        <w:t>e</w:t>
      </w:r>
      <w:r w:rsidRPr="006A6DD2">
        <w:rPr>
          <w:rFonts w:ascii="Times New Roman" w:hAnsi="Times New Roman" w:cs="Times New Roman"/>
          <w:sz w:val="24"/>
        </w:rPr>
        <w:t xml:space="preserve">xchange rate volatility and the trade balance: Case of Uzbekistan,” </w:t>
      </w:r>
      <w:r w:rsidRPr="006A6DD2">
        <w:rPr>
          <w:rFonts w:ascii="Times New Roman" w:hAnsi="Times New Roman" w:cs="Times New Roman"/>
          <w:i/>
          <w:sz w:val="24"/>
        </w:rPr>
        <w:t>Journal of Economics and Business Research</w:t>
      </w:r>
      <w:r w:rsidRPr="006A6DD2">
        <w:rPr>
          <w:rFonts w:ascii="Times New Roman" w:hAnsi="Times New Roman" w:cs="Times New Roman"/>
          <w:sz w:val="24"/>
        </w:rPr>
        <w:t>, Vol. 1(3), pp. 149-161</w:t>
      </w:r>
    </w:p>
    <w:p w:rsidR="00744513" w:rsidRPr="006A6DD2" w:rsidRDefault="00744513" w:rsidP="00744513">
      <w:pPr>
        <w:numPr>
          <w:ilvl w:val="0"/>
          <w:numId w:val="1"/>
        </w:numPr>
        <w:tabs>
          <w:tab w:val="clear" w:pos="1260"/>
          <w:tab w:val="num" w:pos="525"/>
        </w:tabs>
        <w:ind w:left="525" w:hanging="525"/>
        <w:rPr>
          <w:rFonts w:ascii="Times New Roman" w:hAnsi="Times New Roman" w:cs="Times New Roman"/>
          <w:sz w:val="24"/>
        </w:rPr>
      </w:pPr>
      <w:proofErr w:type="spellStart"/>
      <w:r w:rsidRPr="006A6DD2">
        <w:rPr>
          <w:rFonts w:ascii="Times New Roman" w:hAnsi="Times New Roman" w:cs="Times New Roman"/>
          <w:sz w:val="24"/>
        </w:rPr>
        <w:t>Bayoumi</w:t>
      </w:r>
      <w:proofErr w:type="spellEnd"/>
      <w:r w:rsidRPr="006A6DD2">
        <w:rPr>
          <w:rFonts w:ascii="Times New Roman" w:hAnsi="Times New Roman" w:cs="Times New Roman"/>
          <w:sz w:val="24"/>
        </w:rPr>
        <w:t xml:space="preserve">, T., and </w:t>
      </w:r>
      <w:proofErr w:type="spellStart"/>
      <w:r w:rsidRPr="006A6DD2">
        <w:rPr>
          <w:rFonts w:ascii="Times New Roman" w:hAnsi="Times New Roman" w:cs="Times New Roman"/>
          <w:sz w:val="24"/>
        </w:rPr>
        <w:t>Eichengreen</w:t>
      </w:r>
      <w:proofErr w:type="spellEnd"/>
      <w:r w:rsidRPr="006A6DD2">
        <w:rPr>
          <w:rFonts w:ascii="Times New Roman" w:hAnsi="Times New Roman" w:cs="Times New Roman"/>
          <w:sz w:val="24"/>
        </w:rPr>
        <w:t xml:space="preserve">, B. (1998), “Exchange rate volatility and intervention: implications of the theory of optimum currency areas,” </w:t>
      </w:r>
      <w:r w:rsidRPr="006A6DD2">
        <w:rPr>
          <w:rFonts w:ascii="Times New Roman" w:hAnsi="Times New Roman" w:cs="Times New Roman"/>
          <w:i/>
          <w:sz w:val="24"/>
        </w:rPr>
        <w:t>Journal of International Economics</w:t>
      </w:r>
      <w:r w:rsidRPr="006A6DD2">
        <w:rPr>
          <w:rFonts w:ascii="Times New Roman" w:hAnsi="Times New Roman" w:cs="Times New Roman"/>
          <w:sz w:val="24"/>
        </w:rPr>
        <w:t>, Vol. 45, pp. 191-209</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Beckmann</w:t>
      </w:r>
      <w:r>
        <w:rPr>
          <w:rFonts w:ascii="Times New Roman" w:hAnsi="Times New Roman" w:cs="Times New Roman"/>
          <w:sz w:val="24"/>
        </w:rPr>
        <w:t>,</w:t>
      </w:r>
      <w:r w:rsidRPr="006A6DD2">
        <w:rPr>
          <w:rFonts w:ascii="Times New Roman" w:hAnsi="Times New Roman" w:cs="Times New Roman"/>
          <w:sz w:val="24"/>
        </w:rPr>
        <w:t xml:space="preserve"> J., </w:t>
      </w:r>
      <w:proofErr w:type="spellStart"/>
      <w:r w:rsidRPr="006A6DD2">
        <w:rPr>
          <w:rFonts w:ascii="Times New Roman" w:hAnsi="Times New Roman" w:cs="Times New Roman"/>
          <w:sz w:val="24"/>
        </w:rPr>
        <w:t>Belke</w:t>
      </w:r>
      <w:proofErr w:type="spellEnd"/>
      <w:r w:rsidRPr="006A6DD2">
        <w:rPr>
          <w:rFonts w:ascii="Times New Roman" w:hAnsi="Times New Roman" w:cs="Times New Roman"/>
          <w:sz w:val="24"/>
        </w:rPr>
        <w:t xml:space="preserve"> A., and Kuhl</w:t>
      </w:r>
      <w:r>
        <w:rPr>
          <w:rFonts w:ascii="Times New Roman" w:hAnsi="Times New Roman" w:cs="Times New Roman"/>
          <w:sz w:val="24"/>
        </w:rPr>
        <w:t>,</w:t>
      </w:r>
      <w:r w:rsidRPr="006A6DD2">
        <w:rPr>
          <w:rFonts w:ascii="Times New Roman" w:hAnsi="Times New Roman" w:cs="Times New Roman"/>
          <w:sz w:val="24"/>
        </w:rPr>
        <w:t xml:space="preserve"> M. (2010), “The dollar-euro exchange rate and macroeconomic fundamentals: a time-varying coefficient approach,” </w:t>
      </w:r>
      <w:r w:rsidRPr="00D60A44">
        <w:rPr>
          <w:rFonts w:ascii="Times New Roman" w:hAnsi="Times New Roman" w:cs="Times New Roman"/>
          <w:i/>
          <w:sz w:val="24"/>
        </w:rPr>
        <w:t>Review of World Economics</w:t>
      </w:r>
      <w:r w:rsidRPr="006A6DD2">
        <w:rPr>
          <w:rFonts w:ascii="Times New Roman" w:hAnsi="Times New Roman" w:cs="Times New Roman"/>
          <w:sz w:val="24"/>
        </w:rPr>
        <w:t>, Vol. 147, pp. 11-40</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 xml:space="preserve">Calvo, G. A., and Reinhart, C. M. (2002), “Fear of floating,” </w:t>
      </w:r>
      <w:r w:rsidRPr="006A6DD2">
        <w:rPr>
          <w:rFonts w:ascii="Times New Roman" w:hAnsi="Times New Roman" w:cs="Times New Roman"/>
          <w:i/>
          <w:sz w:val="24"/>
        </w:rPr>
        <w:t>Quarterly Journal of Economics</w:t>
      </w:r>
      <w:r w:rsidRPr="006A6DD2">
        <w:rPr>
          <w:rFonts w:ascii="Times New Roman" w:hAnsi="Times New Roman" w:cs="Times New Roman"/>
          <w:sz w:val="24"/>
        </w:rPr>
        <w:t xml:space="preserve">, Vol. 117, pp. 379-408 </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proofErr w:type="spellStart"/>
      <w:r w:rsidRPr="006A6DD2">
        <w:rPr>
          <w:rFonts w:ascii="Times New Roman" w:hAnsi="Times New Roman" w:cs="Times New Roman"/>
          <w:sz w:val="24"/>
        </w:rPr>
        <w:t>Cavoli</w:t>
      </w:r>
      <w:proofErr w:type="spellEnd"/>
      <w:r w:rsidRPr="006A6DD2">
        <w:rPr>
          <w:rFonts w:ascii="Times New Roman" w:hAnsi="Times New Roman" w:cs="Times New Roman"/>
          <w:sz w:val="24"/>
        </w:rPr>
        <w:t xml:space="preserve">, T., and </w:t>
      </w:r>
      <w:proofErr w:type="spellStart"/>
      <w:r w:rsidRPr="006A6DD2">
        <w:rPr>
          <w:rFonts w:ascii="Times New Roman" w:hAnsi="Times New Roman" w:cs="Times New Roman"/>
          <w:sz w:val="24"/>
        </w:rPr>
        <w:t>Rajan</w:t>
      </w:r>
      <w:proofErr w:type="spellEnd"/>
      <w:r w:rsidRPr="006A6DD2">
        <w:rPr>
          <w:rFonts w:ascii="Times New Roman" w:hAnsi="Times New Roman" w:cs="Times New Roman"/>
          <w:sz w:val="24"/>
        </w:rPr>
        <w:t xml:space="preserve">, R. (2007), “Managing in the middle: Characterizing Singapore’s exchange rate policy,” </w:t>
      </w:r>
      <w:r w:rsidRPr="006A6DD2">
        <w:rPr>
          <w:rFonts w:ascii="Times New Roman" w:hAnsi="Times New Roman" w:cs="Times New Roman"/>
          <w:i/>
          <w:sz w:val="24"/>
        </w:rPr>
        <w:t>Asian Economic Journal</w:t>
      </w:r>
      <w:r w:rsidRPr="006A6DD2">
        <w:rPr>
          <w:rFonts w:ascii="Times New Roman" w:hAnsi="Times New Roman" w:cs="Times New Roman"/>
          <w:sz w:val="24"/>
        </w:rPr>
        <w:t>, Vol. 21, pp. 321-342</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Frankel, J., and Wei, S. J. (1994), “</w:t>
      </w:r>
      <w:r w:rsidRPr="006A6DD2">
        <w:rPr>
          <w:rFonts w:ascii="Times New Roman" w:hAnsi="Times New Roman" w:cs="Times New Roman"/>
          <w:i/>
          <w:sz w:val="24"/>
        </w:rPr>
        <w:t>Yen bloc or dollar bloc? Exchange rate policies of the East Asian economies,</w:t>
      </w:r>
      <w:r w:rsidRPr="006A6DD2">
        <w:rPr>
          <w:rFonts w:ascii="Times New Roman" w:hAnsi="Times New Roman" w:cs="Times New Roman"/>
          <w:sz w:val="24"/>
        </w:rPr>
        <w:t>” University of Chicago Press</w:t>
      </w:r>
    </w:p>
    <w:p w:rsidR="00744513" w:rsidRPr="00F53FBC"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Frankel, J., and Wei, S. J. (2007), “Estimation of de facto exchange rate regimes: synthesis of the techniques for inferring flexibility and basket weights</w:t>
      </w:r>
      <w:r w:rsidRPr="006A6DD2">
        <w:rPr>
          <w:rFonts w:ascii="Times New Roman" w:hAnsi="Times New Roman" w:cs="Times New Roman"/>
          <w:i/>
          <w:sz w:val="24"/>
        </w:rPr>
        <w:t>,</w:t>
      </w:r>
      <w:r w:rsidRPr="006A6DD2">
        <w:rPr>
          <w:rFonts w:ascii="Times New Roman" w:hAnsi="Times New Roman" w:cs="Times New Roman"/>
          <w:sz w:val="24"/>
        </w:rPr>
        <w:t xml:space="preserve">” </w:t>
      </w:r>
      <w:r w:rsidRPr="00F53FBC">
        <w:rPr>
          <w:rFonts w:ascii="Times New Roman" w:hAnsi="Times New Roman" w:cs="Times New Roman"/>
          <w:sz w:val="24"/>
        </w:rPr>
        <w:t>IMF Working Paper</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proofErr w:type="spellStart"/>
      <w:r w:rsidRPr="006A6DD2">
        <w:rPr>
          <w:rFonts w:ascii="Times New Roman" w:hAnsi="Times New Roman" w:cs="Times New Roman"/>
          <w:sz w:val="24"/>
        </w:rPr>
        <w:t>Gissy</w:t>
      </w:r>
      <w:proofErr w:type="spellEnd"/>
      <w:r w:rsidRPr="006A6DD2">
        <w:rPr>
          <w:rFonts w:ascii="Times New Roman" w:hAnsi="Times New Roman" w:cs="Times New Roman"/>
          <w:sz w:val="24"/>
        </w:rPr>
        <w:t xml:space="preserve">, W. (2009), “Classifying the </w:t>
      </w:r>
      <w:proofErr w:type="spellStart"/>
      <w:r w:rsidRPr="006A6DD2">
        <w:rPr>
          <w:rFonts w:ascii="Times New Roman" w:hAnsi="Times New Roman" w:cs="Times New Roman"/>
          <w:sz w:val="24"/>
        </w:rPr>
        <w:t>tenge</w:t>
      </w:r>
      <w:proofErr w:type="spellEnd"/>
      <w:r w:rsidRPr="006A6DD2">
        <w:rPr>
          <w:rFonts w:ascii="Times New Roman" w:hAnsi="Times New Roman" w:cs="Times New Roman"/>
          <w:sz w:val="24"/>
        </w:rPr>
        <w:t xml:space="preserve">-dollar regime 2001-2008: An application of the Reinhart-Rogoff taxonomy,” </w:t>
      </w:r>
      <w:r w:rsidRPr="006A6DD2">
        <w:rPr>
          <w:rFonts w:ascii="Times New Roman" w:hAnsi="Times New Roman" w:cs="Times New Roman"/>
          <w:i/>
          <w:sz w:val="24"/>
        </w:rPr>
        <w:t>Central Asia Business Journal</w:t>
      </w:r>
      <w:r w:rsidRPr="006A6DD2">
        <w:rPr>
          <w:rFonts w:ascii="Times New Roman" w:hAnsi="Times New Roman" w:cs="Times New Roman"/>
          <w:sz w:val="24"/>
        </w:rPr>
        <w:t xml:space="preserve">, Vol. 2, pp. 40-46  </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 xml:space="preserve">International Monetary Fund (11 November 2003), </w:t>
      </w:r>
      <w:bookmarkStart w:id="3" w:name="prnumber"/>
      <w:r w:rsidRPr="006A6DD2">
        <w:rPr>
          <w:rFonts w:ascii="Times New Roman" w:hAnsi="Times New Roman" w:cs="Times New Roman"/>
          <w:sz w:val="24"/>
        </w:rPr>
        <w:t>“</w:t>
      </w:r>
      <w:r w:rsidRPr="006A6DD2">
        <w:rPr>
          <w:rFonts w:ascii="Times New Roman" w:eastAsia="Times New Roman" w:hAnsi="Times New Roman" w:cs="Times New Roman"/>
          <w:sz w:val="24"/>
          <w:lang w:eastAsia="ru-RU"/>
        </w:rPr>
        <w:t>Press release No. </w:t>
      </w:r>
      <w:bookmarkStart w:id="4" w:name="P16_75"/>
      <w:bookmarkEnd w:id="3"/>
      <w:bookmarkEnd w:id="4"/>
      <w:r w:rsidRPr="006A6DD2">
        <w:rPr>
          <w:rFonts w:ascii="Times New Roman" w:eastAsia="Times New Roman" w:hAnsi="Times New Roman" w:cs="Times New Roman"/>
          <w:sz w:val="24"/>
          <w:lang w:eastAsia="ru-RU"/>
        </w:rPr>
        <w:t>03/188 of </w:t>
      </w:r>
      <w:bookmarkStart w:id="5" w:name="P18_103"/>
      <w:bookmarkStart w:id="6" w:name="prdate"/>
      <w:bookmarkEnd w:id="5"/>
      <w:bookmarkEnd w:id="6"/>
      <w:r w:rsidRPr="006A6DD2">
        <w:rPr>
          <w:rFonts w:ascii="Times New Roman" w:eastAsia="Times New Roman" w:hAnsi="Times New Roman" w:cs="Times New Roman"/>
          <w:sz w:val="24"/>
          <w:lang w:eastAsia="ru-RU"/>
        </w:rPr>
        <w:t>11 November 2003,” &lt;http://www.imf.org/external/np/sec/pr/2003/pr03188.htm&gt;</w:t>
      </w:r>
    </w:p>
    <w:p w:rsidR="00744513"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Pr>
          <w:rFonts w:ascii="Times New Roman" w:hAnsi="Times New Roman" w:cs="Times New Roman"/>
          <w:sz w:val="24"/>
        </w:rPr>
        <w:t>Introduction to symposium on “Monetary and exchange rate p</w:t>
      </w:r>
      <w:r w:rsidRPr="006A6DD2">
        <w:rPr>
          <w:rFonts w:ascii="Times New Roman" w:hAnsi="Times New Roman" w:cs="Times New Roman"/>
          <w:sz w:val="24"/>
        </w:rPr>
        <w:t xml:space="preserve">olicies in the CIS Countries: Between EU and Russia,” </w:t>
      </w:r>
      <w:r w:rsidRPr="006A6DD2">
        <w:rPr>
          <w:rFonts w:ascii="Times New Roman" w:hAnsi="Times New Roman" w:cs="Times New Roman"/>
          <w:i/>
          <w:sz w:val="24"/>
        </w:rPr>
        <w:t>Journal of Comparative Economics</w:t>
      </w:r>
      <w:r w:rsidRPr="006A6DD2">
        <w:rPr>
          <w:rFonts w:ascii="Times New Roman" w:hAnsi="Times New Roman" w:cs="Times New Roman"/>
          <w:sz w:val="24"/>
        </w:rPr>
        <w:t>, Vol. 33</w:t>
      </w:r>
      <w:r>
        <w:rPr>
          <w:rFonts w:ascii="Times New Roman" w:hAnsi="Times New Roman" w:cs="Times New Roman"/>
          <w:sz w:val="24"/>
        </w:rPr>
        <w:t>,</w:t>
      </w:r>
      <w:r w:rsidRPr="006A6DD2">
        <w:rPr>
          <w:rFonts w:ascii="Times New Roman" w:hAnsi="Times New Roman" w:cs="Times New Roman"/>
          <w:sz w:val="24"/>
        </w:rPr>
        <w:t xml:space="preserve"> pp. 421-424.</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 xml:space="preserve">Keller, P. M., and Richardson, T. (2003), “Nominal anchors in CIS,” International Monetary Fund, </w:t>
      </w:r>
      <w:r w:rsidRPr="00B21C28">
        <w:rPr>
          <w:rFonts w:ascii="Times New Roman" w:hAnsi="Times New Roman" w:cs="Times New Roman"/>
          <w:sz w:val="24"/>
        </w:rPr>
        <w:t>IMF Working Paper No. 03/179</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Kim</w:t>
      </w:r>
      <w:r>
        <w:rPr>
          <w:rFonts w:ascii="Times New Roman" w:hAnsi="Times New Roman" w:cs="Times New Roman"/>
          <w:sz w:val="24"/>
        </w:rPr>
        <w:t>,</w:t>
      </w:r>
      <w:r w:rsidRPr="006A6DD2">
        <w:rPr>
          <w:rFonts w:ascii="Times New Roman" w:hAnsi="Times New Roman" w:cs="Times New Roman"/>
          <w:sz w:val="24"/>
        </w:rPr>
        <w:t xml:space="preserve"> B., Kim</w:t>
      </w:r>
      <w:r>
        <w:rPr>
          <w:rFonts w:ascii="Times New Roman" w:hAnsi="Times New Roman" w:cs="Times New Roman"/>
          <w:sz w:val="24"/>
        </w:rPr>
        <w:t>,</w:t>
      </w:r>
      <w:r w:rsidRPr="006A6DD2">
        <w:rPr>
          <w:rFonts w:ascii="Times New Roman" w:hAnsi="Times New Roman" w:cs="Times New Roman"/>
          <w:sz w:val="24"/>
        </w:rPr>
        <w:t xml:space="preserve"> H., and Oh</w:t>
      </w:r>
      <w:r>
        <w:rPr>
          <w:rFonts w:ascii="Times New Roman" w:hAnsi="Times New Roman" w:cs="Times New Roman"/>
          <w:sz w:val="24"/>
        </w:rPr>
        <w:t>,</w:t>
      </w:r>
      <w:r w:rsidRPr="006A6DD2">
        <w:rPr>
          <w:rFonts w:ascii="Times New Roman" w:hAnsi="Times New Roman" w:cs="Times New Roman"/>
          <w:sz w:val="24"/>
        </w:rPr>
        <w:t xml:space="preserve"> K. (2009), “The purchasing power parity</w:t>
      </w:r>
      <w:r>
        <w:rPr>
          <w:rFonts w:ascii="Times New Roman" w:hAnsi="Times New Roman" w:cs="Times New Roman"/>
          <w:sz w:val="24"/>
        </w:rPr>
        <w:t xml:space="preserve"> of Southeast Asian countries: A</w:t>
      </w:r>
      <w:r w:rsidRPr="006A6DD2">
        <w:rPr>
          <w:rFonts w:ascii="Times New Roman" w:hAnsi="Times New Roman" w:cs="Times New Roman"/>
          <w:sz w:val="24"/>
        </w:rPr>
        <w:t xml:space="preserve"> time-varying coefficient approach,” </w:t>
      </w:r>
      <w:r w:rsidRPr="006A6DD2">
        <w:rPr>
          <w:rFonts w:ascii="Times New Roman" w:hAnsi="Times New Roman" w:cs="Times New Roman"/>
          <w:i/>
          <w:sz w:val="24"/>
        </w:rPr>
        <w:t>Economic Modelling</w:t>
      </w:r>
      <w:r w:rsidRPr="006A6DD2">
        <w:rPr>
          <w:rFonts w:ascii="Times New Roman" w:hAnsi="Times New Roman" w:cs="Times New Roman"/>
          <w:sz w:val="24"/>
        </w:rPr>
        <w:t>, Vol. 26, pp. 96-106</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Pr>
          <w:rFonts w:ascii="Times New Roman" w:hAnsi="Times New Roman" w:cs="Times New Roman"/>
          <w:sz w:val="24"/>
        </w:rPr>
        <w:t>McK</w:t>
      </w:r>
      <w:r w:rsidRPr="006A6DD2">
        <w:rPr>
          <w:rFonts w:ascii="Times New Roman" w:hAnsi="Times New Roman" w:cs="Times New Roman"/>
          <w:sz w:val="24"/>
        </w:rPr>
        <w:t>innon</w:t>
      </w:r>
      <w:r>
        <w:rPr>
          <w:rFonts w:ascii="Times New Roman" w:hAnsi="Times New Roman" w:cs="Times New Roman"/>
          <w:sz w:val="24"/>
        </w:rPr>
        <w:t>, R.</w:t>
      </w:r>
      <w:r w:rsidRPr="006A6DD2">
        <w:rPr>
          <w:rFonts w:ascii="Times New Roman" w:hAnsi="Times New Roman" w:cs="Times New Roman"/>
          <w:sz w:val="24"/>
        </w:rPr>
        <w:t xml:space="preserve"> </w:t>
      </w:r>
      <w:r>
        <w:rPr>
          <w:rFonts w:ascii="Times New Roman" w:hAnsi="Times New Roman" w:cs="Times New Roman"/>
          <w:sz w:val="24"/>
        </w:rPr>
        <w:t>(</w:t>
      </w:r>
      <w:r w:rsidRPr="006A6DD2">
        <w:rPr>
          <w:rFonts w:ascii="Times New Roman" w:hAnsi="Times New Roman" w:cs="Times New Roman"/>
          <w:sz w:val="24"/>
        </w:rPr>
        <w:t>2001</w:t>
      </w:r>
      <w:r>
        <w:rPr>
          <w:rFonts w:ascii="Times New Roman" w:hAnsi="Times New Roman" w:cs="Times New Roman"/>
          <w:sz w:val="24"/>
        </w:rPr>
        <w:t>),</w:t>
      </w:r>
      <w:r w:rsidRPr="006A6DD2">
        <w:rPr>
          <w:rFonts w:ascii="Times New Roman" w:hAnsi="Times New Roman" w:cs="Times New Roman"/>
          <w:sz w:val="24"/>
        </w:rPr>
        <w:t xml:space="preserve"> </w:t>
      </w:r>
      <w:r>
        <w:rPr>
          <w:rFonts w:ascii="Times New Roman" w:hAnsi="Times New Roman" w:cs="Times New Roman"/>
          <w:sz w:val="24"/>
        </w:rPr>
        <w:t>“</w:t>
      </w:r>
      <w:r w:rsidRPr="006A6DD2">
        <w:rPr>
          <w:rFonts w:ascii="Times New Roman" w:hAnsi="Times New Roman" w:cs="Times New Roman"/>
          <w:sz w:val="24"/>
        </w:rPr>
        <w:t>After the crisis</w:t>
      </w:r>
      <w:r>
        <w:rPr>
          <w:rFonts w:ascii="Times New Roman" w:hAnsi="Times New Roman" w:cs="Times New Roman"/>
          <w:sz w:val="24"/>
        </w:rPr>
        <w:t>,</w:t>
      </w:r>
      <w:r w:rsidRPr="006A6DD2">
        <w:rPr>
          <w:rFonts w:ascii="Times New Roman" w:hAnsi="Times New Roman" w:cs="Times New Roman"/>
          <w:sz w:val="24"/>
        </w:rPr>
        <w:t xml:space="preserve"> the East Asia</w:t>
      </w:r>
      <w:r>
        <w:rPr>
          <w:rFonts w:ascii="Times New Roman" w:hAnsi="Times New Roman" w:cs="Times New Roman"/>
          <w:sz w:val="24"/>
        </w:rPr>
        <w:t>n dollar standard resurrected: A</w:t>
      </w:r>
      <w:r w:rsidRPr="006A6DD2">
        <w:rPr>
          <w:rFonts w:ascii="Times New Roman" w:hAnsi="Times New Roman" w:cs="Times New Roman"/>
          <w:sz w:val="24"/>
        </w:rPr>
        <w:t>n interpretation of high-frequency exchange rate pegging</w:t>
      </w:r>
      <w:r>
        <w:rPr>
          <w:rFonts w:ascii="Times New Roman" w:hAnsi="Times New Roman" w:cs="Times New Roman"/>
          <w:sz w:val="24"/>
        </w:rPr>
        <w:t>,”</w:t>
      </w:r>
      <w:r w:rsidRPr="006A6DD2">
        <w:rPr>
          <w:rFonts w:ascii="Times New Roman" w:hAnsi="Times New Roman" w:cs="Times New Roman"/>
          <w:sz w:val="24"/>
        </w:rPr>
        <w:t xml:space="preserve"> </w:t>
      </w:r>
      <w:r>
        <w:rPr>
          <w:rFonts w:ascii="Times New Roman" w:hAnsi="Times New Roman" w:cs="Times New Roman"/>
          <w:sz w:val="24"/>
        </w:rPr>
        <w:t xml:space="preserve">The </w:t>
      </w:r>
      <w:r w:rsidRPr="006A6DD2">
        <w:rPr>
          <w:rFonts w:ascii="Times New Roman" w:hAnsi="Times New Roman" w:cs="Times New Roman"/>
          <w:sz w:val="24"/>
        </w:rPr>
        <w:t>Cent</w:t>
      </w:r>
      <w:r>
        <w:rPr>
          <w:rFonts w:ascii="Times New Roman" w:hAnsi="Times New Roman" w:cs="Times New Roman"/>
          <w:sz w:val="24"/>
        </w:rPr>
        <w:t>re for Research on Economic Development and Policy R</w:t>
      </w:r>
      <w:r w:rsidRPr="006A6DD2">
        <w:rPr>
          <w:rFonts w:ascii="Times New Roman" w:hAnsi="Times New Roman" w:cs="Times New Roman"/>
          <w:sz w:val="24"/>
        </w:rPr>
        <w:t>eform</w:t>
      </w:r>
      <w:r>
        <w:rPr>
          <w:rFonts w:ascii="Times New Roman" w:hAnsi="Times New Roman" w:cs="Times New Roman"/>
          <w:sz w:val="24"/>
        </w:rPr>
        <w:t>, Working Paper No. 8</w:t>
      </w:r>
      <w:r w:rsidRPr="0034157C">
        <w:rPr>
          <w:rFonts w:ascii="Times New Roman" w:hAnsi="Times New Roman" w:cs="Times New Roman"/>
          <w:sz w:val="24"/>
        </w:rPr>
        <w:t>8</w:t>
      </w:r>
    </w:p>
    <w:p w:rsidR="00744513" w:rsidRDefault="00744513" w:rsidP="00744513">
      <w:pPr>
        <w:numPr>
          <w:ilvl w:val="0"/>
          <w:numId w:val="1"/>
        </w:numPr>
        <w:tabs>
          <w:tab w:val="clear" w:pos="1260"/>
          <w:tab w:val="num" w:pos="525"/>
        </w:tabs>
        <w:ind w:left="525" w:hanging="525"/>
        <w:rPr>
          <w:rFonts w:ascii="Times New Roman" w:hAnsi="Times New Roman" w:cs="Times New Roman"/>
          <w:sz w:val="24"/>
        </w:rPr>
      </w:pPr>
      <w:r w:rsidRPr="006A6DD2">
        <w:rPr>
          <w:rFonts w:ascii="Times New Roman" w:hAnsi="Times New Roman" w:cs="Times New Roman"/>
          <w:sz w:val="24"/>
        </w:rPr>
        <w:t xml:space="preserve">Mundell, R. (1961), “A theory of optimum currency areas,” </w:t>
      </w:r>
      <w:r w:rsidRPr="006A6DD2">
        <w:rPr>
          <w:rFonts w:ascii="Times New Roman" w:hAnsi="Times New Roman" w:cs="Times New Roman"/>
          <w:i/>
          <w:sz w:val="24"/>
        </w:rPr>
        <w:t xml:space="preserve">American Economic </w:t>
      </w:r>
      <w:proofErr w:type="gramStart"/>
      <w:r w:rsidRPr="006A6DD2">
        <w:rPr>
          <w:rFonts w:ascii="Times New Roman" w:hAnsi="Times New Roman" w:cs="Times New Roman"/>
          <w:i/>
          <w:sz w:val="24"/>
        </w:rPr>
        <w:t xml:space="preserve">Review, </w:t>
      </w:r>
      <w:r w:rsidRPr="006A6DD2">
        <w:rPr>
          <w:rFonts w:ascii="Times New Roman" w:hAnsi="Times New Roman" w:cs="Times New Roman"/>
          <w:sz w:val="24"/>
        </w:rPr>
        <w:t xml:space="preserve"> Vol.</w:t>
      </w:r>
      <w:proofErr w:type="gramEnd"/>
      <w:r w:rsidRPr="006A6DD2">
        <w:rPr>
          <w:rFonts w:ascii="Times New Roman" w:hAnsi="Times New Roman" w:cs="Times New Roman"/>
          <w:sz w:val="24"/>
        </w:rPr>
        <w:t xml:space="preserve"> 51, pp. 657-665</w:t>
      </w:r>
    </w:p>
    <w:p w:rsidR="00744513" w:rsidRPr="006A6DD2" w:rsidRDefault="00744513" w:rsidP="00744513">
      <w:pPr>
        <w:numPr>
          <w:ilvl w:val="0"/>
          <w:numId w:val="1"/>
        </w:numPr>
        <w:tabs>
          <w:tab w:val="clear" w:pos="1260"/>
          <w:tab w:val="num" w:pos="525"/>
        </w:tabs>
        <w:ind w:left="525" w:hanging="525"/>
        <w:rPr>
          <w:rFonts w:ascii="Times New Roman" w:hAnsi="Times New Roman" w:cs="Times New Roman"/>
          <w:sz w:val="24"/>
        </w:rPr>
      </w:pPr>
      <w:r w:rsidRPr="006A6DD2">
        <w:rPr>
          <w:rFonts w:ascii="Times New Roman" w:hAnsi="Times New Roman" w:cs="Times New Roman"/>
          <w:sz w:val="24"/>
        </w:rPr>
        <w:t xml:space="preserve">Ogawa, E., and Yang, D. Y. (2008), “The dilemma of exchange rate arrangements in East Asia,” </w:t>
      </w:r>
      <w:r w:rsidRPr="006A6DD2">
        <w:rPr>
          <w:rFonts w:ascii="Times New Roman" w:hAnsi="Times New Roman" w:cs="Times New Roman"/>
          <w:i/>
          <w:sz w:val="24"/>
        </w:rPr>
        <w:t>Japan &amp; World Economy</w:t>
      </w:r>
      <w:r w:rsidRPr="006A6DD2">
        <w:rPr>
          <w:rFonts w:ascii="Times New Roman" w:hAnsi="Times New Roman" w:cs="Times New Roman"/>
          <w:sz w:val="24"/>
        </w:rPr>
        <w:t>, Vol. 20, pp. 217-235</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proofErr w:type="spellStart"/>
      <w:r w:rsidRPr="006A6DD2">
        <w:rPr>
          <w:rFonts w:ascii="Times New Roman" w:hAnsi="Times New Roman" w:cs="Times New Roman"/>
          <w:sz w:val="24"/>
        </w:rPr>
        <w:t>Olimov</w:t>
      </w:r>
      <w:proofErr w:type="spellEnd"/>
      <w:r w:rsidRPr="006A6DD2">
        <w:rPr>
          <w:rFonts w:ascii="Times New Roman" w:hAnsi="Times New Roman" w:cs="Times New Roman"/>
          <w:sz w:val="24"/>
        </w:rPr>
        <w:t xml:space="preserve">, U., and </w:t>
      </w:r>
      <w:proofErr w:type="spellStart"/>
      <w:r w:rsidRPr="006A6DD2">
        <w:rPr>
          <w:rFonts w:ascii="Times New Roman" w:hAnsi="Times New Roman" w:cs="Times New Roman"/>
          <w:sz w:val="24"/>
        </w:rPr>
        <w:t>Sirajiddinov</w:t>
      </w:r>
      <w:proofErr w:type="spellEnd"/>
      <w:r w:rsidRPr="006A6DD2">
        <w:rPr>
          <w:rFonts w:ascii="Times New Roman" w:hAnsi="Times New Roman" w:cs="Times New Roman"/>
          <w:sz w:val="24"/>
        </w:rPr>
        <w:t>, N. (2008), “The effects of the real exchange rate volatility and misalignments on foreign trade flows in Uzbekistan</w:t>
      </w:r>
      <w:r w:rsidRPr="006A6DD2">
        <w:rPr>
          <w:rFonts w:ascii="Times New Roman" w:hAnsi="Times New Roman" w:cs="Times New Roman"/>
          <w:i/>
          <w:sz w:val="24"/>
        </w:rPr>
        <w:t>,</w:t>
      </w:r>
      <w:r w:rsidRPr="006A6DD2">
        <w:rPr>
          <w:rFonts w:ascii="Times New Roman" w:hAnsi="Times New Roman" w:cs="Times New Roman"/>
          <w:sz w:val="24"/>
        </w:rPr>
        <w:t xml:space="preserve">” </w:t>
      </w:r>
      <w:r w:rsidRPr="006A6DD2">
        <w:rPr>
          <w:rFonts w:ascii="Times New Roman" w:hAnsi="Times New Roman" w:cs="Times New Roman"/>
          <w:i/>
          <w:sz w:val="24"/>
        </w:rPr>
        <w:t>Economics</w:t>
      </w:r>
      <w:r w:rsidRPr="006A6DD2">
        <w:rPr>
          <w:rFonts w:ascii="Times New Roman" w:hAnsi="Times New Roman" w:cs="Times New Roman"/>
          <w:sz w:val="24"/>
        </w:rPr>
        <w:t xml:space="preserve">, Discussion </w:t>
      </w:r>
      <w:proofErr w:type="gramStart"/>
      <w:r w:rsidRPr="006A6DD2">
        <w:rPr>
          <w:rFonts w:ascii="Times New Roman" w:hAnsi="Times New Roman" w:cs="Times New Roman"/>
          <w:sz w:val="24"/>
        </w:rPr>
        <w:t>Paper  No.</w:t>
      </w:r>
      <w:proofErr w:type="gramEnd"/>
      <w:r w:rsidRPr="006A6DD2">
        <w:rPr>
          <w:rFonts w:ascii="Times New Roman" w:hAnsi="Times New Roman" w:cs="Times New Roman"/>
          <w:sz w:val="24"/>
        </w:rPr>
        <w:t xml:space="preserve"> 2008-29</w:t>
      </w:r>
    </w:p>
    <w:p w:rsidR="00744513" w:rsidRPr="006A6DD2" w:rsidRDefault="00744513" w:rsidP="00744513">
      <w:pPr>
        <w:numPr>
          <w:ilvl w:val="0"/>
          <w:numId w:val="1"/>
        </w:numPr>
        <w:tabs>
          <w:tab w:val="clear" w:pos="1260"/>
          <w:tab w:val="num" w:pos="525"/>
        </w:tabs>
        <w:ind w:left="525" w:hanging="525"/>
        <w:rPr>
          <w:rFonts w:ascii="Times New Roman" w:hAnsi="Times New Roman" w:cs="Times New Roman"/>
          <w:sz w:val="24"/>
        </w:rPr>
      </w:pPr>
      <w:r w:rsidRPr="006A6DD2">
        <w:rPr>
          <w:rFonts w:ascii="Times New Roman" w:hAnsi="Times New Roman" w:cs="Times New Roman"/>
          <w:sz w:val="24"/>
        </w:rPr>
        <w:t>Pastor, G., and Damjanovic, T. (2001), “The Russian financial crisis and its consequences for Central Asia</w:t>
      </w:r>
      <w:r w:rsidRPr="006A6DD2">
        <w:rPr>
          <w:rFonts w:ascii="Times New Roman" w:hAnsi="Times New Roman" w:cs="Times New Roman"/>
          <w:i/>
          <w:sz w:val="24"/>
        </w:rPr>
        <w:t>,</w:t>
      </w:r>
      <w:r w:rsidRPr="006A6DD2">
        <w:rPr>
          <w:rFonts w:ascii="Times New Roman" w:hAnsi="Times New Roman" w:cs="Times New Roman"/>
          <w:sz w:val="24"/>
        </w:rPr>
        <w:t xml:space="preserve">” </w:t>
      </w:r>
      <w:r w:rsidRPr="00A520FF">
        <w:rPr>
          <w:rFonts w:ascii="Times New Roman" w:hAnsi="Times New Roman" w:cs="Times New Roman"/>
          <w:sz w:val="24"/>
        </w:rPr>
        <w:t>IMF Working Paper No. 01/169</w:t>
      </w:r>
    </w:p>
    <w:p w:rsidR="00744513" w:rsidRPr="006A6DD2" w:rsidRDefault="00744513" w:rsidP="00744513">
      <w:pPr>
        <w:numPr>
          <w:ilvl w:val="0"/>
          <w:numId w:val="1"/>
        </w:numPr>
        <w:tabs>
          <w:tab w:val="clear" w:pos="1260"/>
          <w:tab w:val="num" w:pos="525"/>
        </w:tabs>
        <w:ind w:left="525" w:hanging="525"/>
        <w:rPr>
          <w:rFonts w:ascii="Times New Roman" w:hAnsi="Times New Roman" w:cs="Times New Roman"/>
          <w:sz w:val="24"/>
        </w:rPr>
      </w:pPr>
      <w:r w:rsidRPr="006A6DD2">
        <w:rPr>
          <w:rFonts w:ascii="Times New Roman" w:hAnsi="Times New Roman" w:cs="Times New Roman"/>
          <w:sz w:val="24"/>
        </w:rPr>
        <w:t xml:space="preserve">Reinhart, C., and Rogoff, K. (2004), “The modern history of exchange rate arrangements: A reinterpretation,” </w:t>
      </w:r>
      <w:r w:rsidRPr="006A6DD2">
        <w:rPr>
          <w:rFonts w:ascii="Times New Roman" w:hAnsi="Times New Roman" w:cs="Times New Roman"/>
          <w:i/>
          <w:sz w:val="24"/>
        </w:rPr>
        <w:t>Quarterly Journal of Economics</w:t>
      </w:r>
      <w:r w:rsidRPr="006A6DD2">
        <w:rPr>
          <w:rFonts w:ascii="Times New Roman" w:hAnsi="Times New Roman" w:cs="Times New Roman"/>
          <w:sz w:val="24"/>
        </w:rPr>
        <w:t>, Vol. 119, pp. 1-48</w:t>
      </w:r>
    </w:p>
    <w:p w:rsidR="00744513" w:rsidRPr="006A6DD2"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6A6DD2">
        <w:rPr>
          <w:rFonts w:ascii="Times New Roman" w:hAnsi="Times New Roman" w:cs="Times New Roman"/>
          <w:sz w:val="24"/>
        </w:rPr>
        <w:t xml:space="preserve">Rosenberg, C. B., and </w:t>
      </w:r>
      <w:proofErr w:type="spellStart"/>
      <w:r w:rsidRPr="006A6DD2">
        <w:rPr>
          <w:rFonts w:ascii="Times New Roman" w:hAnsi="Times New Roman" w:cs="Times New Roman"/>
          <w:sz w:val="24"/>
        </w:rPr>
        <w:t>Zeeuw</w:t>
      </w:r>
      <w:proofErr w:type="spellEnd"/>
      <w:r w:rsidRPr="006A6DD2">
        <w:rPr>
          <w:rFonts w:ascii="Times New Roman" w:hAnsi="Times New Roman" w:cs="Times New Roman"/>
          <w:sz w:val="24"/>
        </w:rPr>
        <w:t xml:space="preserve">, M. D. (2001), “Welfare effects of Uzbekistan’s foreign exchange regime,” </w:t>
      </w:r>
      <w:r w:rsidRPr="006A6DD2">
        <w:rPr>
          <w:rFonts w:ascii="Times New Roman" w:hAnsi="Times New Roman" w:cs="Times New Roman"/>
          <w:i/>
          <w:sz w:val="24"/>
        </w:rPr>
        <w:t xml:space="preserve">IMF Staff Papers, </w:t>
      </w:r>
      <w:r w:rsidRPr="00A520FF">
        <w:rPr>
          <w:rFonts w:ascii="Times New Roman" w:hAnsi="Times New Roman" w:cs="Times New Roman"/>
          <w:sz w:val="24"/>
        </w:rPr>
        <w:t>Vol. 48(1)</w:t>
      </w:r>
    </w:p>
    <w:p w:rsidR="00744513"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proofErr w:type="spellStart"/>
      <w:r w:rsidRPr="006A6DD2">
        <w:rPr>
          <w:rFonts w:ascii="Times New Roman" w:hAnsi="Times New Roman" w:cs="Times New Roman"/>
          <w:sz w:val="24"/>
        </w:rPr>
        <w:lastRenderedPageBreak/>
        <w:t>Tashrifov</w:t>
      </w:r>
      <w:proofErr w:type="spellEnd"/>
      <w:r w:rsidRPr="006A6DD2">
        <w:rPr>
          <w:rFonts w:ascii="Times New Roman" w:hAnsi="Times New Roman" w:cs="Times New Roman"/>
          <w:sz w:val="24"/>
        </w:rPr>
        <w:t>, M. (2005), “Monetary policy model of Tajikistan: A structural vector autoregression approach</w:t>
      </w:r>
      <w:r w:rsidRPr="006A6DD2">
        <w:rPr>
          <w:rFonts w:ascii="Times New Roman" w:hAnsi="Times New Roman" w:cs="Times New Roman"/>
          <w:i/>
          <w:sz w:val="24"/>
        </w:rPr>
        <w:t>,</w:t>
      </w:r>
      <w:r w:rsidRPr="006A6DD2">
        <w:rPr>
          <w:rFonts w:ascii="Times New Roman" w:hAnsi="Times New Roman" w:cs="Times New Roman"/>
          <w:sz w:val="24"/>
        </w:rPr>
        <w:t xml:space="preserve">” Asia Pacific School of Economics and Government, </w:t>
      </w:r>
      <w:r w:rsidRPr="0062174A">
        <w:rPr>
          <w:rFonts w:ascii="Times New Roman" w:hAnsi="Times New Roman" w:cs="Times New Roman"/>
          <w:sz w:val="24"/>
        </w:rPr>
        <w:t>Working Paper</w:t>
      </w:r>
    </w:p>
    <w:p w:rsidR="00744513" w:rsidRPr="008D7F9C" w:rsidRDefault="00744513" w:rsidP="00744513">
      <w:pPr>
        <w:numPr>
          <w:ilvl w:val="0"/>
          <w:numId w:val="1"/>
        </w:numPr>
        <w:tabs>
          <w:tab w:val="clear" w:pos="1260"/>
          <w:tab w:val="num" w:pos="525"/>
        </w:tabs>
        <w:autoSpaceDE w:val="0"/>
        <w:autoSpaceDN w:val="0"/>
        <w:adjustRightInd w:val="0"/>
        <w:ind w:left="525" w:hanging="525"/>
        <w:rPr>
          <w:rFonts w:ascii="Times New Roman" w:hAnsi="Times New Roman" w:cs="Times New Roman"/>
          <w:sz w:val="24"/>
        </w:rPr>
      </w:pPr>
      <w:r w:rsidRPr="008D7F9C">
        <w:rPr>
          <w:rFonts w:ascii="Times New Roman" w:hAnsi="Times New Roman" w:cs="Times New Roman"/>
          <w:sz w:val="24"/>
        </w:rPr>
        <w:t>World Bank</w:t>
      </w:r>
      <w:r>
        <w:rPr>
          <w:rFonts w:ascii="Times New Roman" w:hAnsi="Times New Roman" w:cs="Times New Roman"/>
          <w:sz w:val="24"/>
        </w:rPr>
        <w:t xml:space="preserve"> Russian</w:t>
      </w:r>
      <w:r w:rsidRPr="008D7F9C">
        <w:rPr>
          <w:rFonts w:ascii="Times New Roman" w:hAnsi="Times New Roman" w:cs="Times New Roman"/>
          <w:sz w:val="24"/>
        </w:rPr>
        <w:t xml:space="preserve"> Country Office</w:t>
      </w:r>
      <w:r>
        <w:rPr>
          <w:rFonts w:ascii="Times New Roman" w:hAnsi="Times New Roman" w:cs="Times New Roman"/>
          <w:sz w:val="24"/>
        </w:rPr>
        <w:t xml:space="preserve"> (2007), “Russian economic r</w:t>
      </w:r>
      <w:r w:rsidRPr="008D7F9C">
        <w:rPr>
          <w:rFonts w:ascii="Times New Roman" w:hAnsi="Times New Roman" w:cs="Times New Roman"/>
          <w:sz w:val="24"/>
        </w:rPr>
        <w:t>eport,” World Bank</w:t>
      </w:r>
      <w:r>
        <w:rPr>
          <w:rFonts w:ascii="Times New Roman" w:hAnsi="Times New Roman" w:cs="Times New Roman"/>
          <w:sz w:val="24"/>
        </w:rPr>
        <w:t xml:space="preserve"> </w:t>
      </w:r>
    </w:p>
    <w:p w:rsidR="00744513" w:rsidRDefault="00744513" w:rsidP="00744513"/>
    <w:sectPr w:rsidR="00744513" w:rsidSect="0047690F">
      <w:headerReference w:type="default" r:id="rId31"/>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13" w:rsidRDefault="00744513" w:rsidP="00744513">
      <w:r>
        <w:separator/>
      </w:r>
    </w:p>
  </w:endnote>
  <w:endnote w:type="continuationSeparator" w:id="0">
    <w:p w:rsidR="00744513" w:rsidRDefault="00744513" w:rsidP="0074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13" w:rsidRDefault="00744513" w:rsidP="00744513">
      <w:r>
        <w:separator/>
      </w:r>
    </w:p>
  </w:footnote>
  <w:footnote w:type="continuationSeparator" w:id="0">
    <w:p w:rsidR="00744513" w:rsidRDefault="00744513" w:rsidP="00744513">
      <w:r>
        <w:continuationSeparator/>
      </w:r>
    </w:p>
  </w:footnote>
  <w:footnote w:id="1">
    <w:p w:rsidR="00744513" w:rsidRDefault="00744513" w:rsidP="00744513">
      <w:pPr>
        <w:pStyle w:val="a9"/>
      </w:pPr>
      <w:r>
        <w:rPr>
          <w:rStyle w:val="ab"/>
        </w:rPr>
        <w:footnoteRef/>
      </w:r>
      <w:r>
        <w:t xml:space="preserve"> </w:t>
      </w:r>
      <w:r>
        <w:rPr>
          <w:rFonts w:ascii="Times New Roman" w:hAnsi="Times New Roman" w:cs="Times New Roman"/>
          <w:sz w:val="20"/>
          <w:szCs w:val="20"/>
        </w:rPr>
        <w:t xml:space="preserve">Due to </w:t>
      </w:r>
      <w:r>
        <w:rPr>
          <w:rFonts w:ascii="Times New Roman" w:hAnsi="Times New Roman" w:cs="Times New Roman"/>
          <w:sz w:val="20"/>
          <w:szCs w:val="20"/>
          <w:lang w:val="en-US"/>
        </w:rPr>
        <w:t>a</w:t>
      </w:r>
      <w:r>
        <w:rPr>
          <w:rFonts w:ascii="Times New Roman" w:hAnsi="Times New Roman" w:cs="Times New Roman"/>
          <w:sz w:val="20"/>
          <w:szCs w:val="20"/>
        </w:rPr>
        <w:t xml:space="preserve"> </w:t>
      </w:r>
      <w:r>
        <w:rPr>
          <w:rFonts w:ascii="Times New Roman" w:hAnsi="Times New Roman" w:cs="Times New Roman"/>
          <w:sz w:val="20"/>
          <w:szCs w:val="20"/>
          <w:lang w:val="en-US"/>
        </w:rPr>
        <w:t>lack</w:t>
      </w:r>
      <w:r>
        <w:rPr>
          <w:rFonts w:ascii="Times New Roman" w:hAnsi="Times New Roman" w:cs="Times New Roman"/>
          <w:sz w:val="20"/>
          <w:szCs w:val="20"/>
        </w:rPr>
        <w:t xml:space="preserve"> of </w:t>
      </w:r>
      <w:r w:rsidRPr="006C0F92">
        <w:rPr>
          <w:rFonts w:ascii="Times New Roman" w:hAnsi="Times New Roman" w:cs="Times New Roman"/>
          <w:sz w:val="20"/>
          <w:szCs w:val="20"/>
        </w:rPr>
        <w:t>data</w:t>
      </w:r>
      <w:r>
        <w:rPr>
          <w:rFonts w:ascii="Times New Roman" w:hAnsi="Times New Roman" w:cs="Times New Roman"/>
          <w:sz w:val="20"/>
          <w:szCs w:val="20"/>
        </w:rPr>
        <w:t xml:space="preserve">, </w:t>
      </w:r>
      <w:r>
        <w:rPr>
          <w:rFonts w:ascii="Times New Roman" w:hAnsi="Times New Roman" w:cs="Times New Roman"/>
          <w:sz w:val="20"/>
          <w:szCs w:val="20"/>
          <w:lang w:val="en-US"/>
        </w:rPr>
        <w:t>the</w:t>
      </w:r>
      <w:r>
        <w:rPr>
          <w:rFonts w:ascii="Times New Roman" w:hAnsi="Times New Roman" w:cs="Times New Roman"/>
          <w:sz w:val="20"/>
          <w:szCs w:val="20"/>
        </w:rPr>
        <w:t xml:space="preserve"> analysis </w:t>
      </w:r>
      <w:r>
        <w:rPr>
          <w:rFonts w:ascii="Times New Roman" w:hAnsi="Times New Roman" w:cs="Times New Roman"/>
          <w:sz w:val="20"/>
          <w:szCs w:val="20"/>
          <w:lang w:val="en-US"/>
        </w:rPr>
        <w:t>does</w:t>
      </w:r>
      <w:r>
        <w:rPr>
          <w:rFonts w:ascii="Times New Roman" w:hAnsi="Times New Roman" w:cs="Times New Roman"/>
          <w:sz w:val="20"/>
          <w:szCs w:val="20"/>
        </w:rPr>
        <w:t xml:space="preserve"> not </w:t>
      </w:r>
      <w:r>
        <w:rPr>
          <w:rFonts w:ascii="Times New Roman" w:hAnsi="Times New Roman" w:cs="Times New Roman"/>
          <w:sz w:val="20"/>
          <w:szCs w:val="20"/>
          <w:lang w:val="en-US"/>
        </w:rPr>
        <w:t>include</w:t>
      </w:r>
      <w:r>
        <w:rPr>
          <w:rFonts w:ascii="Times New Roman" w:hAnsi="Times New Roman" w:cs="Times New Roman"/>
          <w:sz w:val="20"/>
          <w:szCs w:val="20"/>
        </w:rPr>
        <w:t xml:space="preserve"> </w:t>
      </w:r>
      <w:r w:rsidRPr="006C0F92">
        <w:rPr>
          <w:rFonts w:ascii="Times New Roman" w:hAnsi="Times New Roman" w:cs="Times New Roman"/>
          <w:sz w:val="20"/>
          <w:szCs w:val="20"/>
        </w:rPr>
        <w:t xml:space="preserve">Turkmenistan. </w:t>
      </w:r>
      <w:bookmarkStart w:id="2" w:name="_GoBack"/>
      <w:bookmarkEnd w:id="2"/>
    </w:p>
  </w:footnote>
  <w:footnote w:id="2">
    <w:p w:rsidR="00744513" w:rsidRPr="0074218E" w:rsidRDefault="00744513" w:rsidP="00744513">
      <w:pPr>
        <w:pStyle w:val="a9"/>
        <w:rPr>
          <w:rFonts w:ascii="Times New Roman" w:hAnsi="Times New Roman" w:cs="Times New Roman"/>
          <w:b/>
          <w:sz w:val="20"/>
          <w:szCs w:val="20"/>
        </w:rPr>
      </w:pPr>
      <w:r w:rsidRPr="00B81EB2">
        <w:rPr>
          <w:rStyle w:val="ab"/>
          <w:rFonts w:ascii="Times New Roman" w:hAnsi="Times New Roman" w:cs="Times New Roman"/>
          <w:sz w:val="20"/>
          <w:szCs w:val="20"/>
        </w:rPr>
        <w:footnoteRef/>
      </w:r>
      <w:r w:rsidRPr="00B81EB2">
        <w:rPr>
          <w:rFonts w:ascii="Times New Roman" w:hAnsi="Times New Roman" w:cs="Times New Roman"/>
          <w:sz w:val="20"/>
          <w:szCs w:val="20"/>
        </w:rPr>
        <w:t xml:space="preserve"> Russian Economic Report</w:t>
      </w:r>
      <w:r>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w:t>
      </w:r>
      <w:r w:rsidRPr="00B81EB2">
        <w:rPr>
          <w:rFonts w:ascii="Times New Roman" w:hAnsi="Times New Roman" w:cs="Times New Roman"/>
          <w:sz w:val="20"/>
          <w:szCs w:val="20"/>
        </w:rPr>
        <w:t>World Bank Russian Country Office</w:t>
      </w:r>
      <w:r>
        <w:rPr>
          <w:rFonts w:ascii="Times New Roman" w:hAnsi="Times New Roman" w:cs="Times New Roman"/>
          <w:sz w:val="20"/>
          <w:szCs w:val="20"/>
        </w:rPr>
        <w:t>, 2007</w:t>
      </w:r>
      <w:r>
        <w:rPr>
          <w:rFonts w:ascii="Times New Roman" w:hAnsi="Times New Roman" w:cs="Times New Roman"/>
          <w:sz w:val="20"/>
          <w:szCs w:val="20"/>
          <w:lang w:val="uz-Cyrl-UZ"/>
        </w:rPr>
        <w:t>)</w:t>
      </w:r>
      <w:r w:rsidRPr="00B81EB2">
        <w:rPr>
          <w:rFonts w:ascii="Times New Roman" w:hAnsi="Times New Roman" w:cs="Times New Roman"/>
          <w:sz w:val="20"/>
          <w:szCs w:val="20"/>
        </w:rPr>
        <w:t>.</w:t>
      </w:r>
      <w:r>
        <w:rPr>
          <w:rFonts w:ascii="Times New Roman" w:hAnsi="Times New Roman" w:cs="Times New Roman"/>
          <w:b/>
          <w:sz w:val="20"/>
          <w:szCs w:val="20"/>
        </w:rPr>
        <w:t xml:space="preserve"> </w:t>
      </w:r>
    </w:p>
  </w:footnote>
  <w:footnote w:id="3">
    <w:p w:rsidR="00744513" w:rsidRPr="007120CA" w:rsidRDefault="00744513" w:rsidP="00744513">
      <w:pPr>
        <w:pStyle w:val="a9"/>
        <w:rPr>
          <w:rFonts w:ascii="Times New Roman" w:hAnsi="Times New Roman" w:cs="Times New Roman"/>
          <w:sz w:val="20"/>
          <w:szCs w:val="20"/>
        </w:rPr>
      </w:pPr>
      <w:r w:rsidRPr="007120CA">
        <w:rPr>
          <w:rStyle w:val="ab"/>
          <w:rFonts w:ascii="Times New Roman" w:hAnsi="Times New Roman" w:cs="Times New Roman"/>
          <w:sz w:val="20"/>
          <w:szCs w:val="20"/>
        </w:rPr>
        <w:footnoteRef/>
      </w:r>
      <w:r w:rsidRPr="007120CA">
        <w:rPr>
          <w:rFonts w:ascii="Times New Roman" w:hAnsi="Times New Roman" w:cs="Times New Roman"/>
          <w:sz w:val="20"/>
          <w:szCs w:val="20"/>
        </w:rPr>
        <w:t xml:space="preserve"> See </w:t>
      </w:r>
      <w:r>
        <w:rPr>
          <w:rFonts w:ascii="Times New Roman" w:hAnsi="Times New Roman" w:cs="Times New Roman"/>
          <w:sz w:val="20"/>
          <w:szCs w:val="20"/>
        </w:rPr>
        <w:t>the Introduction to S</w:t>
      </w:r>
      <w:r w:rsidRPr="007120CA">
        <w:rPr>
          <w:rFonts w:ascii="Times New Roman" w:hAnsi="Times New Roman" w:cs="Times New Roman"/>
          <w:sz w:val="20"/>
          <w:szCs w:val="20"/>
        </w:rPr>
        <w:t xml:space="preserve">ymposium on “Monetary </w:t>
      </w:r>
      <w:r>
        <w:rPr>
          <w:rFonts w:ascii="Times New Roman" w:hAnsi="Times New Roman" w:cs="Times New Roman"/>
          <w:sz w:val="20"/>
          <w:szCs w:val="20"/>
        </w:rPr>
        <w:t xml:space="preserve">and Exchange Rate </w:t>
      </w:r>
      <w:r w:rsidRPr="007120CA">
        <w:rPr>
          <w:rFonts w:ascii="Times New Roman" w:hAnsi="Times New Roman" w:cs="Times New Roman"/>
          <w:sz w:val="20"/>
          <w:szCs w:val="20"/>
        </w:rPr>
        <w:t>Polic</w:t>
      </w:r>
      <w:r>
        <w:rPr>
          <w:rFonts w:ascii="Times New Roman" w:hAnsi="Times New Roman" w:cs="Times New Roman"/>
          <w:sz w:val="20"/>
          <w:szCs w:val="20"/>
        </w:rPr>
        <w:t>ies</w:t>
      </w:r>
      <w:r w:rsidRPr="007120CA">
        <w:rPr>
          <w:rFonts w:ascii="Times New Roman" w:hAnsi="Times New Roman" w:cs="Times New Roman"/>
          <w:sz w:val="20"/>
          <w:szCs w:val="20"/>
        </w:rPr>
        <w:t xml:space="preserve"> </w:t>
      </w:r>
      <w:r>
        <w:rPr>
          <w:rFonts w:ascii="Times New Roman" w:hAnsi="Times New Roman" w:cs="Times New Roman"/>
          <w:sz w:val="20"/>
          <w:szCs w:val="20"/>
        </w:rPr>
        <w:t xml:space="preserve">in the </w:t>
      </w:r>
      <w:r w:rsidRPr="007120CA">
        <w:rPr>
          <w:rFonts w:ascii="Times New Roman" w:hAnsi="Times New Roman" w:cs="Times New Roman"/>
          <w:sz w:val="20"/>
          <w:szCs w:val="20"/>
        </w:rPr>
        <w:t>CIS Countries</w:t>
      </w:r>
      <w:r>
        <w:rPr>
          <w:rFonts w:ascii="Times New Roman" w:hAnsi="Times New Roman" w:cs="Times New Roman"/>
          <w:sz w:val="20"/>
          <w:szCs w:val="20"/>
        </w:rPr>
        <w:t>: Between the EU and Russia</w:t>
      </w:r>
      <w:r w:rsidRPr="007120CA">
        <w:rPr>
          <w:rFonts w:ascii="Times New Roman" w:hAnsi="Times New Roman" w:cs="Times New Roman"/>
          <w:sz w:val="20"/>
          <w:szCs w:val="20"/>
        </w:rPr>
        <w:t>,” Brussels (2005).</w:t>
      </w:r>
    </w:p>
  </w:footnote>
  <w:footnote w:id="4">
    <w:p w:rsidR="00744513" w:rsidRPr="007C6B12" w:rsidRDefault="00744513" w:rsidP="00744513">
      <w:pPr>
        <w:pStyle w:val="a9"/>
        <w:rPr>
          <w:rFonts w:ascii="Times New Roman" w:hAnsi="Times New Roman" w:cs="Times New Roman"/>
          <w:iCs/>
          <w:sz w:val="20"/>
          <w:szCs w:val="20"/>
        </w:rPr>
      </w:pPr>
      <w:r w:rsidRPr="00C62B91">
        <w:rPr>
          <w:rStyle w:val="ab"/>
          <w:rFonts w:ascii="Times New Roman" w:hAnsi="Times New Roman" w:cs="Times New Roman"/>
          <w:sz w:val="20"/>
          <w:szCs w:val="20"/>
        </w:rPr>
        <w:footnoteRef/>
      </w:r>
      <w:r w:rsidRPr="00C62B91">
        <w:rPr>
          <w:rFonts w:ascii="Times New Roman" w:hAnsi="Times New Roman" w:cs="Times New Roman"/>
          <w:sz w:val="20"/>
          <w:szCs w:val="20"/>
        </w:rPr>
        <w:t xml:space="preserve"> </w:t>
      </w:r>
      <w:r w:rsidRPr="00C62B91">
        <w:rPr>
          <w:rFonts w:ascii="Times New Roman" w:hAnsi="Times New Roman" w:cs="Times New Roman"/>
          <w:iCs/>
          <w:sz w:val="20"/>
          <w:szCs w:val="20"/>
        </w:rPr>
        <w:t xml:space="preserve">Kazakhstan </w:t>
      </w:r>
      <w:r>
        <w:rPr>
          <w:rFonts w:ascii="Times New Roman" w:hAnsi="Times New Roman" w:cs="Times New Roman"/>
          <w:iCs/>
          <w:sz w:val="20"/>
          <w:szCs w:val="20"/>
          <w:lang w:val="en-US"/>
        </w:rPr>
        <w:t>maintained</w:t>
      </w:r>
      <w:r>
        <w:rPr>
          <w:rFonts w:ascii="Times New Roman" w:hAnsi="Times New Roman" w:cs="Times New Roman"/>
          <w:iCs/>
          <w:sz w:val="20"/>
          <w:szCs w:val="20"/>
        </w:rPr>
        <w:t xml:space="preserve"> </w:t>
      </w:r>
      <w:r>
        <w:rPr>
          <w:rFonts w:ascii="Times New Roman" w:hAnsi="Times New Roman" w:cs="Times New Roman"/>
          <w:iCs/>
          <w:sz w:val="20"/>
          <w:szCs w:val="20"/>
          <w:lang w:val="en-US"/>
        </w:rPr>
        <w:t>a</w:t>
      </w:r>
      <w:r>
        <w:rPr>
          <w:rFonts w:ascii="Times New Roman" w:hAnsi="Times New Roman" w:cs="Times New Roman"/>
          <w:iCs/>
          <w:sz w:val="20"/>
          <w:szCs w:val="20"/>
        </w:rPr>
        <w:t xml:space="preserve"> </w:t>
      </w:r>
      <w:r w:rsidRPr="00C62B91">
        <w:rPr>
          <w:rFonts w:ascii="Times New Roman" w:hAnsi="Times New Roman" w:cs="Times New Roman"/>
          <w:iCs/>
          <w:sz w:val="20"/>
          <w:szCs w:val="20"/>
        </w:rPr>
        <w:t xml:space="preserve">managed floating exchange rate regime during the period 1995-1997. The appreciation of the Kazakhstan </w:t>
      </w:r>
      <w:proofErr w:type="spellStart"/>
      <w:r w:rsidRPr="00C62B91">
        <w:rPr>
          <w:rFonts w:ascii="Times New Roman" w:hAnsi="Times New Roman" w:cs="Times New Roman"/>
          <w:iCs/>
          <w:sz w:val="20"/>
          <w:szCs w:val="20"/>
        </w:rPr>
        <w:t>tenge</w:t>
      </w:r>
      <w:proofErr w:type="spellEnd"/>
      <w:r w:rsidRPr="00C62B91">
        <w:rPr>
          <w:rFonts w:ascii="Times New Roman" w:hAnsi="Times New Roman" w:cs="Times New Roman"/>
          <w:iCs/>
          <w:sz w:val="20"/>
          <w:szCs w:val="20"/>
        </w:rPr>
        <w:t xml:space="preserve"> against the </w:t>
      </w:r>
      <w:proofErr w:type="spellStart"/>
      <w:r>
        <w:rPr>
          <w:rFonts w:ascii="Times New Roman" w:hAnsi="Times New Roman" w:cs="Times New Roman"/>
          <w:iCs/>
          <w:sz w:val="20"/>
          <w:szCs w:val="20"/>
        </w:rPr>
        <w:t>ruble</w:t>
      </w:r>
      <w:proofErr w:type="spellEnd"/>
      <w:r w:rsidRPr="00C62B91">
        <w:rPr>
          <w:rFonts w:ascii="Times New Roman" w:hAnsi="Times New Roman" w:cs="Times New Roman"/>
          <w:iCs/>
          <w:sz w:val="20"/>
          <w:szCs w:val="20"/>
        </w:rPr>
        <w:t xml:space="preserve"> could also </w:t>
      </w:r>
      <w:r>
        <w:rPr>
          <w:rFonts w:ascii="Times New Roman" w:hAnsi="Times New Roman" w:cs="Times New Roman"/>
          <w:iCs/>
          <w:sz w:val="20"/>
          <w:szCs w:val="20"/>
          <w:lang w:val="en-US"/>
        </w:rPr>
        <w:t>have</w:t>
      </w:r>
      <w:r>
        <w:rPr>
          <w:rFonts w:ascii="Times New Roman" w:hAnsi="Times New Roman" w:cs="Times New Roman"/>
          <w:iCs/>
          <w:sz w:val="20"/>
          <w:szCs w:val="20"/>
        </w:rPr>
        <w:t xml:space="preserve"> </w:t>
      </w:r>
      <w:r w:rsidRPr="00C62B91">
        <w:rPr>
          <w:rFonts w:ascii="Times New Roman" w:hAnsi="Times New Roman" w:cs="Times New Roman"/>
          <w:iCs/>
          <w:sz w:val="20"/>
          <w:szCs w:val="20"/>
        </w:rPr>
        <w:t xml:space="preserve">related to a rapid rise in </w:t>
      </w:r>
      <w:r>
        <w:rPr>
          <w:rFonts w:ascii="Times New Roman" w:hAnsi="Times New Roman" w:cs="Times New Roman"/>
          <w:iCs/>
          <w:sz w:val="20"/>
          <w:szCs w:val="20"/>
          <w:lang w:val="en-US"/>
        </w:rPr>
        <w:t>oil</w:t>
      </w:r>
      <w:r>
        <w:rPr>
          <w:rFonts w:ascii="Times New Roman" w:hAnsi="Times New Roman" w:cs="Times New Roman"/>
          <w:iCs/>
          <w:sz w:val="20"/>
          <w:szCs w:val="20"/>
        </w:rPr>
        <w:t xml:space="preserve"> </w:t>
      </w:r>
      <w:r w:rsidRPr="00C62B91">
        <w:rPr>
          <w:rFonts w:ascii="Times New Roman" w:hAnsi="Times New Roman" w:cs="Times New Roman"/>
          <w:iCs/>
          <w:sz w:val="20"/>
          <w:szCs w:val="20"/>
        </w:rPr>
        <w:t>export</w:t>
      </w:r>
      <w:r>
        <w:rPr>
          <w:rFonts w:ascii="Times New Roman" w:hAnsi="Times New Roman" w:cs="Times New Roman"/>
          <w:iCs/>
          <w:sz w:val="20"/>
          <w:szCs w:val="20"/>
        </w:rPr>
        <w:t>s</w:t>
      </w:r>
      <w:r w:rsidRPr="00C62B91">
        <w:rPr>
          <w:rFonts w:ascii="Times New Roman" w:hAnsi="Times New Roman" w:cs="Times New Roman"/>
          <w:iCs/>
          <w:sz w:val="20"/>
          <w:szCs w:val="20"/>
        </w:rPr>
        <w:t xml:space="preserve">. In general, Kazakhstan’s monetary policy was acknowledged </w:t>
      </w:r>
      <w:r>
        <w:rPr>
          <w:rFonts w:ascii="Times New Roman" w:hAnsi="Times New Roman" w:cs="Times New Roman"/>
          <w:iCs/>
          <w:sz w:val="20"/>
          <w:szCs w:val="20"/>
          <w:lang w:val="en-US"/>
        </w:rPr>
        <w:t>to</w:t>
      </w:r>
      <w:r>
        <w:rPr>
          <w:rFonts w:ascii="Times New Roman" w:hAnsi="Times New Roman" w:cs="Times New Roman"/>
          <w:iCs/>
          <w:sz w:val="20"/>
          <w:szCs w:val="20"/>
        </w:rPr>
        <w:t xml:space="preserve"> </w:t>
      </w:r>
      <w:r>
        <w:rPr>
          <w:rFonts w:ascii="Times New Roman" w:hAnsi="Times New Roman" w:cs="Times New Roman"/>
          <w:iCs/>
          <w:sz w:val="20"/>
          <w:szCs w:val="20"/>
          <w:lang w:val="en-US"/>
        </w:rPr>
        <w:t>be</w:t>
      </w:r>
      <w:r>
        <w:rPr>
          <w:rFonts w:ascii="Times New Roman" w:hAnsi="Times New Roman" w:cs="Times New Roman"/>
          <w:iCs/>
          <w:sz w:val="20"/>
          <w:szCs w:val="20"/>
        </w:rPr>
        <w:t xml:space="preserve"> </w:t>
      </w:r>
      <w:r w:rsidRPr="00C62B91">
        <w:rPr>
          <w:rFonts w:ascii="Times New Roman" w:hAnsi="Times New Roman" w:cs="Times New Roman"/>
          <w:iCs/>
          <w:sz w:val="20"/>
          <w:szCs w:val="20"/>
        </w:rPr>
        <w:t>successful in keeping inflation low and in managing the exchange rate (Keller and Richardson</w:t>
      </w:r>
      <w:r>
        <w:rPr>
          <w:rFonts w:ascii="Times New Roman" w:hAnsi="Times New Roman" w:cs="Times New Roman"/>
          <w:iCs/>
          <w:sz w:val="20"/>
          <w:szCs w:val="20"/>
        </w:rPr>
        <w:t>,</w:t>
      </w:r>
      <w:r w:rsidRPr="00C62B91">
        <w:rPr>
          <w:rFonts w:ascii="Times New Roman" w:hAnsi="Times New Roman" w:cs="Times New Roman"/>
          <w:iCs/>
          <w:sz w:val="20"/>
          <w:szCs w:val="20"/>
        </w:rPr>
        <w:t xml:space="preserve"> 2003). The situation in Kyrgyzstan</w:t>
      </w:r>
      <w:r w:rsidRPr="00C62B91">
        <w:rPr>
          <w:rFonts w:ascii="Times New Roman" w:hAnsi="Times New Roman" w:cs="Times New Roman" w:hint="eastAsia"/>
          <w:iCs/>
          <w:sz w:val="20"/>
          <w:szCs w:val="20"/>
        </w:rPr>
        <w:t xml:space="preserve">, which </w:t>
      </w:r>
      <w:r w:rsidRPr="00C62B91">
        <w:rPr>
          <w:rFonts w:ascii="Times New Roman" w:hAnsi="Times New Roman" w:cs="Times New Roman"/>
          <w:iCs/>
          <w:sz w:val="20"/>
          <w:szCs w:val="20"/>
        </w:rPr>
        <w:t xml:space="preserve">was the first country in </w:t>
      </w:r>
      <w:r>
        <w:rPr>
          <w:rFonts w:ascii="Times New Roman" w:hAnsi="Times New Roman" w:cs="Times New Roman"/>
          <w:iCs/>
          <w:sz w:val="20"/>
          <w:szCs w:val="20"/>
          <w:lang w:val="en-US"/>
        </w:rPr>
        <w:t>Central</w:t>
      </w:r>
      <w:r>
        <w:rPr>
          <w:rFonts w:ascii="Times New Roman" w:hAnsi="Times New Roman" w:cs="Times New Roman"/>
          <w:iCs/>
          <w:sz w:val="20"/>
          <w:szCs w:val="20"/>
        </w:rPr>
        <w:t xml:space="preserve"> Asia </w:t>
      </w:r>
      <w:r>
        <w:rPr>
          <w:rFonts w:ascii="Times New Roman" w:hAnsi="Times New Roman" w:cs="Times New Roman"/>
          <w:iCs/>
          <w:sz w:val="20"/>
          <w:szCs w:val="20"/>
          <w:lang w:val="en-US"/>
        </w:rPr>
        <w:t>to</w:t>
      </w:r>
      <w:r>
        <w:rPr>
          <w:rFonts w:ascii="Times New Roman" w:hAnsi="Times New Roman" w:cs="Times New Roman"/>
          <w:iCs/>
          <w:sz w:val="20"/>
          <w:szCs w:val="20"/>
        </w:rPr>
        <w:t xml:space="preserve"> </w:t>
      </w:r>
      <w:r>
        <w:rPr>
          <w:rFonts w:ascii="Times New Roman" w:hAnsi="Times New Roman" w:cs="Times New Roman"/>
          <w:iCs/>
          <w:sz w:val="20"/>
          <w:szCs w:val="20"/>
          <w:lang w:val="en-US"/>
        </w:rPr>
        <w:t>float</w:t>
      </w:r>
      <w:r>
        <w:rPr>
          <w:rFonts w:ascii="Times New Roman" w:hAnsi="Times New Roman" w:cs="Times New Roman"/>
          <w:iCs/>
          <w:sz w:val="20"/>
          <w:szCs w:val="20"/>
        </w:rPr>
        <w:t xml:space="preserve"> its </w:t>
      </w:r>
      <w:r w:rsidRPr="00C62B91">
        <w:rPr>
          <w:rFonts w:ascii="Times New Roman" w:hAnsi="Times New Roman" w:cs="Times New Roman"/>
          <w:iCs/>
          <w:sz w:val="20"/>
          <w:szCs w:val="20"/>
        </w:rPr>
        <w:t>exchange rate</w:t>
      </w:r>
      <w:r w:rsidRPr="00C62B91">
        <w:rPr>
          <w:rFonts w:ascii="Times New Roman" w:hAnsi="Times New Roman" w:cs="Times New Roman" w:hint="eastAsia"/>
          <w:iCs/>
          <w:sz w:val="20"/>
          <w:szCs w:val="20"/>
        </w:rPr>
        <w:t>,</w:t>
      </w:r>
      <w:r w:rsidRPr="00C62B91">
        <w:rPr>
          <w:rFonts w:ascii="Times New Roman" w:hAnsi="Times New Roman" w:cs="Times New Roman"/>
          <w:iCs/>
          <w:sz w:val="20"/>
          <w:szCs w:val="20"/>
        </w:rPr>
        <w:t xml:space="preserve"> was almost the same as in Kazakhstan. </w:t>
      </w:r>
      <w:r w:rsidRPr="00C62B91">
        <w:rPr>
          <w:rFonts w:ascii="Times New Roman" w:hAnsi="Times New Roman" w:cs="Times New Roman" w:hint="eastAsia"/>
          <w:iCs/>
          <w:sz w:val="20"/>
          <w:szCs w:val="20"/>
        </w:rPr>
        <w:t xml:space="preserve">Kyrgyzstan </w:t>
      </w:r>
      <w:r>
        <w:rPr>
          <w:rFonts w:ascii="Times New Roman" w:hAnsi="Times New Roman" w:cs="Times New Roman"/>
          <w:iCs/>
          <w:sz w:val="20"/>
          <w:szCs w:val="20"/>
        </w:rPr>
        <w:t xml:space="preserve">began </w:t>
      </w:r>
      <w:r>
        <w:rPr>
          <w:rFonts w:ascii="Times New Roman" w:hAnsi="Times New Roman" w:cs="Times New Roman"/>
          <w:iCs/>
          <w:sz w:val="20"/>
          <w:szCs w:val="20"/>
          <w:lang w:val="en-US"/>
        </w:rPr>
        <w:t>managing</w:t>
      </w:r>
      <w:r>
        <w:rPr>
          <w:rFonts w:ascii="Times New Roman" w:hAnsi="Times New Roman" w:cs="Times New Roman"/>
          <w:iCs/>
          <w:sz w:val="20"/>
          <w:szCs w:val="20"/>
        </w:rPr>
        <w:t xml:space="preserve"> </w:t>
      </w:r>
      <w:r>
        <w:rPr>
          <w:rFonts w:ascii="Times New Roman" w:hAnsi="Times New Roman" w:cs="Times New Roman"/>
          <w:iCs/>
          <w:sz w:val="20"/>
          <w:szCs w:val="20"/>
          <w:lang w:val="en-US"/>
        </w:rPr>
        <w:t xml:space="preserve">its </w:t>
      </w:r>
      <w:r w:rsidRPr="00C62B91">
        <w:rPr>
          <w:rFonts w:ascii="Times New Roman" w:hAnsi="Times New Roman" w:cs="Times New Roman"/>
          <w:iCs/>
          <w:sz w:val="20"/>
          <w:szCs w:val="20"/>
        </w:rPr>
        <w:t xml:space="preserve">exchange rate </w:t>
      </w:r>
      <w:r>
        <w:rPr>
          <w:rFonts w:ascii="Times New Roman" w:hAnsi="Times New Roman" w:cs="Times New Roman"/>
          <w:iCs/>
          <w:sz w:val="20"/>
          <w:szCs w:val="20"/>
        </w:rPr>
        <w:t xml:space="preserve">due </w:t>
      </w:r>
      <w:r>
        <w:rPr>
          <w:rFonts w:ascii="Times New Roman" w:hAnsi="Times New Roman" w:cs="Times New Roman"/>
          <w:iCs/>
          <w:sz w:val="20"/>
          <w:szCs w:val="20"/>
          <w:lang w:val="en-US"/>
        </w:rPr>
        <w:t>to</w:t>
      </w:r>
      <w:r>
        <w:rPr>
          <w:rFonts w:ascii="Times New Roman" w:hAnsi="Times New Roman" w:cs="Times New Roman"/>
          <w:iCs/>
          <w:sz w:val="20"/>
          <w:szCs w:val="20"/>
        </w:rPr>
        <w:t xml:space="preserve"> </w:t>
      </w:r>
      <w:r w:rsidRPr="00C62B91">
        <w:rPr>
          <w:rFonts w:ascii="Times New Roman" w:hAnsi="Times New Roman" w:cs="Times New Roman"/>
          <w:iCs/>
          <w:sz w:val="20"/>
          <w:szCs w:val="20"/>
        </w:rPr>
        <w:t xml:space="preserve">the tight </w:t>
      </w:r>
      <w:r w:rsidRPr="00C62B91">
        <w:rPr>
          <w:rFonts w:ascii="Times New Roman" w:hAnsi="Times New Roman" w:cs="Times New Roman"/>
          <w:iCs/>
          <w:sz w:val="20"/>
          <w:szCs w:val="20"/>
          <w:lang w:val="en-US"/>
        </w:rPr>
        <w:t>link</w:t>
      </w:r>
      <w:r>
        <w:rPr>
          <w:rFonts w:ascii="Times New Roman" w:hAnsi="Times New Roman" w:cs="Times New Roman"/>
          <w:iCs/>
          <w:sz w:val="20"/>
          <w:szCs w:val="20"/>
          <w:lang w:val="en-US"/>
        </w:rPr>
        <w:t>s</w:t>
      </w:r>
      <w:r>
        <w:rPr>
          <w:rFonts w:ascii="Times New Roman" w:hAnsi="Times New Roman" w:cs="Times New Roman"/>
          <w:iCs/>
          <w:sz w:val="20"/>
          <w:szCs w:val="20"/>
        </w:rPr>
        <w:t xml:space="preserve"> between </w:t>
      </w:r>
      <w:r w:rsidRPr="00C62B91">
        <w:rPr>
          <w:rFonts w:ascii="Times New Roman" w:hAnsi="Times New Roman" w:cs="Times New Roman"/>
          <w:iCs/>
          <w:sz w:val="20"/>
          <w:szCs w:val="20"/>
        </w:rPr>
        <w:t>inflation</w:t>
      </w:r>
      <w:r w:rsidRPr="00C62B91">
        <w:rPr>
          <w:rFonts w:ascii="Times New Roman" w:hAnsi="Times New Roman" w:cs="Times New Roman" w:hint="eastAsia"/>
          <w:iCs/>
          <w:sz w:val="20"/>
          <w:szCs w:val="20"/>
        </w:rPr>
        <w:t>,</w:t>
      </w:r>
      <w:r w:rsidRPr="00C62B91">
        <w:rPr>
          <w:rFonts w:ascii="Times New Roman" w:hAnsi="Times New Roman" w:cs="Times New Roman"/>
          <w:iCs/>
          <w:sz w:val="20"/>
          <w:szCs w:val="20"/>
        </w:rPr>
        <w:t xml:space="preserve"> exchange rate</w:t>
      </w:r>
      <w:r w:rsidRPr="00C62B91">
        <w:rPr>
          <w:rFonts w:ascii="Times New Roman" w:hAnsi="Times New Roman" w:cs="Times New Roman" w:hint="eastAsia"/>
          <w:iCs/>
          <w:sz w:val="20"/>
          <w:szCs w:val="20"/>
        </w:rPr>
        <w:t>s,</w:t>
      </w:r>
      <w:r w:rsidRPr="00C62B91">
        <w:rPr>
          <w:rFonts w:ascii="Times New Roman" w:hAnsi="Times New Roman" w:cs="Times New Roman"/>
          <w:iCs/>
          <w:sz w:val="20"/>
          <w:szCs w:val="20"/>
        </w:rPr>
        <w:t xml:space="preserve"> and external </w:t>
      </w:r>
      <w:r w:rsidRPr="00C62B91">
        <w:rPr>
          <w:rFonts w:ascii="Times New Roman" w:hAnsi="Times New Roman" w:cs="Times New Roman" w:hint="eastAsia"/>
          <w:iCs/>
          <w:sz w:val="20"/>
          <w:szCs w:val="20"/>
        </w:rPr>
        <w:t>debt</w:t>
      </w:r>
      <w:r w:rsidRPr="00C62B91">
        <w:rPr>
          <w:rFonts w:ascii="Times New Roman" w:hAnsi="Times New Roman" w:cs="Times New Roman"/>
          <w:iCs/>
          <w:sz w:val="20"/>
          <w:szCs w:val="20"/>
        </w:rPr>
        <w:t xml:space="preserve"> (Keller and Richardson</w:t>
      </w:r>
      <w:r>
        <w:rPr>
          <w:rFonts w:ascii="Times New Roman" w:hAnsi="Times New Roman" w:cs="Times New Roman"/>
          <w:iCs/>
          <w:sz w:val="20"/>
          <w:szCs w:val="20"/>
        </w:rPr>
        <w:t>,</w:t>
      </w:r>
      <w:r w:rsidRPr="00C62B91">
        <w:rPr>
          <w:rFonts w:ascii="Times New Roman" w:hAnsi="Times New Roman" w:cs="Times New Roman" w:hint="eastAsia"/>
          <w:iCs/>
          <w:sz w:val="20"/>
          <w:szCs w:val="20"/>
        </w:rPr>
        <w:t xml:space="preserve"> </w:t>
      </w:r>
      <w:r w:rsidRPr="00C62B91">
        <w:rPr>
          <w:rFonts w:ascii="Times New Roman" w:hAnsi="Times New Roman" w:cs="Times New Roman"/>
          <w:iCs/>
          <w:sz w:val="20"/>
          <w:szCs w:val="20"/>
        </w:rPr>
        <w:t>2003</w:t>
      </w:r>
      <w:r>
        <w:rPr>
          <w:rFonts w:ascii="Times New Roman" w:hAnsi="Times New Roman" w:cs="Times New Roman"/>
          <w:iCs/>
          <w:sz w:val="20"/>
          <w:szCs w:val="20"/>
        </w:rPr>
        <w:t>;</w:t>
      </w:r>
      <w:r w:rsidRPr="00C62B91">
        <w:rPr>
          <w:rFonts w:ascii="Times New Roman" w:hAnsi="Times New Roman" w:cs="Times New Roman" w:hint="eastAsia"/>
          <w:iCs/>
          <w:sz w:val="20"/>
          <w:szCs w:val="20"/>
        </w:rPr>
        <w:t xml:space="preserve"> and </w:t>
      </w:r>
      <w:r w:rsidRPr="00C62B91">
        <w:rPr>
          <w:rFonts w:ascii="Times New Roman" w:hAnsi="Times New Roman" w:cs="Times New Roman"/>
          <w:iCs/>
          <w:sz w:val="20"/>
          <w:szCs w:val="20"/>
        </w:rPr>
        <w:t>Pastor and Damjanovic</w:t>
      </w:r>
      <w:r>
        <w:rPr>
          <w:rFonts w:ascii="Times New Roman" w:hAnsi="Times New Roman" w:cs="Times New Roman"/>
          <w:iCs/>
          <w:sz w:val="20"/>
          <w:szCs w:val="20"/>
        </w:rPr>
        <w:t>,</w:t>
      </w:r>
      <w:r w:rsidRPr="00C62B91">
        <w:rPr>
          <w:rFonts w:ascii="Times New Roman" w:hAnsi="Times New Roman" w:cs="Times New Roman" w:hint="eastAsia"/>
          <w:iCs/>
          <w:sz w:val="20"/>
          <w:szCs w:val="20"/>
        </w:rPr>
        <w:t xml:space="preserve"> </w:t>
      </w:r>
      <w:r w:rsidRPr="00C62B91">
        <w:rPr>
          <w:rFonts w:ascii="Times New Roman" w:hAnsi="Times New Roman" w:cs="Times New Roman"/>
          <w:iCs/>
          <w:sz w:val="20"/>
          <w:szCs w:val="20"/>
        </w:rPr>
        <w:t>2001</w:t>
      </w:r>
      <w:r w:rsidRPr="00C62B91">
        <w:rPr>
          <w:rFonts w:ascii="Times New Roman" w:hAnsi="Times New Roman" w:cs="Times New Roman" w:hint="eastAsia"/>
          <w:iCs/>
          <w:sz w:val="20"/>
          <w:szCs w:val="20"/>
        </w:rPr>
        <w:t>)</w:t>
      </w:r>
      <w:r w:rsidRPr="00C62B91">
        <w:rPr>
          <w:rFonts w:ascii="Times New Roman" w:hAnsi="Times New Roman" w:cs="Times New Roman"/>
          <w:iCs/>
          <w:sz w:val="20"/>
          <w:szCs w:val="20"/>
        </w:rPr>
        <w:t xml:space="preserve">, which provided </w:t>
      </w:r>
      <w:r>
        <w:rPr>
          <w:rFonts w:ascii="Times New Roman" w:hAnsi="Times New Roman" w:cs="Times New Roman"/>
          <w:iCs/>
          <w:sz w:val="20"/>
          <w:szCs w:val="20"/>
          <w:lang w:val="en-US"/>
        </w:rPr>
        <w:t>a</w:t>
      </w:r>
      <w:r>
        <w:rPr>
          <w:rFonts w:ascii="Times New Roman" w:hAnsi="Times New Roman" w:cs="Times New Roman"/>
          <w:iCs/>
          <w:sz w:val="20"/>
          <w:szCs w:val="20"/>
        </w:rPr>
        <w:t xml:space="preserve"> </w:t>
      </w:r>
      <w:r w:rsidRPr="00C62B91">
        <w:rPr>
          <w:rFonts w:ascii="Times New Roman" w:hAnsi="Times New Roman" w:cs="Times New Roman"/>
          <w:iCs/>
          <w:sz w:val="20"/>
          <w:szCs w:val="20"/>
        </w:rPr>
        <w:t xml:space="preserve">relatively stable exchange rate against </w:t>
      </w:r>
      <w:r>
        <w:rPr>
          <w:rFonts w:ascii="Times New Roman" w:hAnsi="Times New Roman" w:cs="Times New Roman"/>
          <w:iCs/>
          <w:sz w:val="20"/>
          <w:szCs w:val="20"/>
          <w:lang w:val="en-US"/>
        </w:rPr>
        <w:t>the</w:t>
      </w:r>
      <w:r>
        <w:rPr>
          <w:rFonts w:ascii="Times New Roman" w:hAnsi="Times New Roman" w:cs="Times New Roman"/>
          <w:iCs/>
          <w:sz w:val="20"/>
          <w:szCs w:val="20"/>
        </w:rPr>
        <w:t xml:space="preserve"> </w:t>
      </w:r>
      <w:r w:rsidRPr="00C62B91">
        <w:rPr>
          <w:rFonts w:ascii="Times New Roman" w:hAnsi="Times New Roman" w:cs="Times New Roman"/>
          <w:iCs/>
          <w:sz w:val="20"/>
          <w:szCs w:val="20"/>
        </w:rPr>
        <w:t xml:space="preserve">dollar after the </w:t>
      </w:r>
      <w:r>
        <w:rPr>
          <w:rFonts w:ascii="Times New Roman" w:hAnsi="Times New Roman" w:cs="Times New Roman"/>
          <w:iCs/>
          <w:sz w:val="20"/>
          <w:szCs w:val="20"/>
        </w:rPr>
        <w:t xml:space="preserve">1998 </w:t>
      </w:r>
      <w:r w:rsidRPr="00C62B91">
        <w:rPr>
          <w:rFonts w:ascii="Times New Roman" w:hAnsi="Times New Roman" w:cs="Times New Roman"/>
          <w:iCs/>
          <w:sz w:val="20"/>
          <w:szCs w:val="20"/>
        </w:rPr>
        <w:t>Russian crisis.</w:t>
      </w:r>
    </w:p>
  </w:footnote>
  <w:footnote w:id="5">
    <w:p w:rsidR="00744513" w:rsidRPr="00521506" w:rsidRDefault="00744513" w:rsidP="00744513">
      <w:pPr>
        <w:pStyle w:val="a9"/>
        <w:rPr>
          <w:rFonts w:ascii="Times New Roman" w:hAnsi="Times New Roman" w:cs="Times New Roman"/>
          <w:iCs/>
          <w:sz w:val="20"/>
          <w:szCs w:val="20"/>
        </w:rPr>
      </w:pPr>
      <w:r>
        <w:rPr>
          <w:rStyle w:val="ab"/>
        </w:rPr>
        <w:footnoteRef/>
      </w:r>
      <w:r>
        <w:t xml:space="preserve"> </w:t>
      </w:r>
      <w:r>
        <w:rPr>
          <w:rFonts w:ascii="Times New Roman" w:hAnsi="Times New Roman" w:cs="Times New Roman"/>
          <w:iCs/>
          <w:sz w:val="20"/>
          <w:szCs w:val="20"/>
        </w:rPr>
        <w:t>T</w:t>
      </w:r>
      <w:r w:rsidRPr="00521506">
        <w:rPr>
          <w:rFonts w:ascii="Times New Roman" w:hAnsi="Times New Roman" w:cs="Times New Roman"/>
          <w:iCs/>
          <w:sz w:val="20"/>
          <w:szCs w:val="20"/>
        </w:rPr>
        <w:t>he level of external debt</w:t>
      </w:r>
      <w:r>
        <w:rPr>
          <w:rFonts w:ascii="Times New Roman" w:hAnsi="Times New Roman" w:cs="Times New Roman"/>
          <w:iCs/>
          <w:sz w:val="20"/>
          <w:szCs w:val="20"/>
        </w:rPr>
        <w:t xml:space="preserve"> and</w:t>
      </w:r>
      <w:r w:rsidRPr="00521506">
        <w:rPr>
          <w:rFonts w:ascii="Times New Roman" w:hAnsi="Times New Roman" w:cs="Times New Roman"/>
          <w:iCs/>
          <w:sz w:val="20"/>
          <w:szCs w:val="20"/>
        </w:rPr>
        <w:t xml:space="preserve"> an increase in government expenditure led </w:t>
      </w:r>
      <w:r>
        <w:rPr>
          <w:rFonts w:ascii="Times New Roman" w:hAnsi="Times New Roman" w:cs="Times New Roman"/>
          <w:iCs/>
          <w:sz w:val="20"/>
          <w:szCs w:val="20"/>
        </w:rPr>
        <w:t xml:space="preserve">the Kazakh </w:t>
      </w:r>
      <w:r w:rsidRPr="00521506">
        <w:rPr>
          <w:rFonts w:ascii="Times New Roman" w:hAnsi="Times New Roman" w:cs="Times New Roman"/>
          <w:iCs/>
          <w:sz w:val="20"/>
          <w:szCs w:val="20"/>
        </w:rPr>
        <w:t xml:space="preserve">economy to overheat until 2007. </w:t>
      </w:r>
      <w:proofErr w:type="gramStart"/>
      <w:r>
        <w:rPr>
          <w:rFonts w:ascii="Times New Roman" w:hAnsi="Times New Roman" w:cs="Times New Roman"/>
          <w:iCs/>
          <w:sz w:val="20"/>
          <w:szCs w:val="20"/>
          <w:lang w:val="en-US"/>
        </w:rPr>
        <w:t>So</w:t>
      </w:r>
      <w:proofErr w:type="gramEnd"/>
      <w:r>
        <w:rPr>
          <w:rFonts w:ascii="Times New Roman" w:hAnsi="Times New Roman" w:cs="Times New Roman"/>
          <w:iCs/>
          <w:sz w:val="20"/>
          <w:szCs w:val="20"/>
        </w:rPr>
        <w:t xml:space="preserve"> the Kazakh economy was hit </w:t>
      </w:r>
      <w:r>
        <w:rPr>
          <w:rFonts w:ascii="Times New Roman" w:hAnsi="Times New Roman" w:cs="Times New Roman"/>
          <w:iCs/>
          <w:sz w:val="20"/>
          <w:szCs w:val="20"/>
          <w:lang w:val="en-US"/>
        </w:rPr>
        <w:t>all</w:t>
      </w:r>
      <w:r>
        <w:rPr>
          <w:rFonts w:ascii="Times New Roman" w:hAnsi="Times New Roman" w:cs="Times New Roman"/>
          <w:iCs/>
          <w:sz w:val="20"/>
          <w:szCs w:val="20"/>
        </w:rPr>
        <w:t xml:space="preserve"> </w:t>
      </w:r>
      <w:r>
        <w:rPr>
          <w:rFonts w:ascii="Times New Roman" w:hAnsi="Times New Roman" w:cs="Times New Roman"/>
          <w:iCs/>
          <w:sz w:val="20"/>
          <w:szCs w:val="20"/>
          <w:lang w:val="en-US"/>
        </w:rPr>
        <w:t>the</w:t>
      </w:r>
      <w:r>
        <w:rPr>
          <w:rFonts w:ascii="Times New Roman" w:hAnsi="Times New Roman" w:cs="Times New Roman"/>
          <w:iCs/>
          <w:sz w:val="20"/>
          <w:szCs w:val="20"/>
        </w:rPr>
        <w:t xml:space="preserve"> harder by </w:t>
      </w:r>
      <w:r>
        <w:rPr>
          <w:rFonts w:ascii="Times New Roman" w:hAnsi="Times New Roman" w:cs="Times New Roman"/>
          <w:iCs/>
          <w:sz w:val="20"/>
          <w:szCs w:val="20"/>
          <w:lang w:val="en-US"/>
        </w:rPr>
        <w:t>the</w:t>
      </w:r>
      <w:r>
        <w:rPr>
          <w:rFonts w:ascii="Times New Roman" w:hAnsi="Times New Roman" w:cs="Times New Roman"/>
          <w:iCs/>
          <w:sz w:val="20"/>
          <w:szCs w:val="20"/>
        </w:rPr>
        <w:t xml:space="preserve"> </w:t>
      </w:r>
      <w:r w:rsidRPr="00521506">
        <w:rPr>
          <w:rFonts w:ascii="Times New Roman" w:hAnsi="Times New Roman" w:cs="Times New Roman"/>
          <w:iCs/>
          <w:sz w:val="20"/>
          <w:szCs w:val="20"/>
        </w:rPr>
        <w:t xml:space="preserve">world financial </w:t>
      </w:r>
      <w:r w:rsidRPr="00521506">
        <w:rPr>
          <w:rFonts w:ascii="Times New Roman" w:hAnsi="Times New Roman" w:cs="Times New Roman"/>
          <w:iCs/>
          <w:sz w:val="20"/>
          <w:szCs w:val="20"/>
          <w:lang w:val="en-US"/>
        </w:rPr>
        <w:t>crisis</w:t>
      </w:r>
      <w:r>
        <w:rPr>
          <w:rFonts w:ascii="Times New Roman" w:hAnsi="Times New Roman" w:cs="Times New Roman"/>
          <w:iCs/>
          <w:sz w:val="20"/>
          <w:szCs w:val="20"/>
        </w:rPr>
        <w:t xml:space="preserve"> </w:t>
      </w:r>
      <w:r>
        <w:rPr>
          <w:rFonts w:ascii="Times New Roman" w:hAnsi="Times New Roman" w:cs="Times New Roman"/>
          <w:iCs/>
          <w:sz w:val="20"/>
          <w:szCs w:val="20"/>
          <w:lang w:val="en-US"/>
        </w:rPr>
        <w:t>of</w:t>
      </w:r>
      <w:r>
        <w:rPr>
          <w:rFonts w:ascii="Times New Roman" w:hAnsi="Times New Roman" w:cs="Times New Roman"/>
          <w:iCs/>
          <w:sz w:val="20"/>
          <w:szCs w:val="20"/>
        </w:rPr>
        <w:t xml:space="preserve"> 2008-9</w:t>
      </w:r>
      <w:r w:rsidRPr="00521506">
        <w:rPr>
          <w:rFonts w:ascii="Times New Roman" w:hAnsi="Times New Roman" w:cs="Times New Roman"/>
          <w:iCs/>
          <w:sz w:val="20"/>
          <w:szCs w:val="20"/>
        </w:rPr>
        <w:t xml:space="preserve">. In dealing with the expected depreciation of </w:t>
      </w:r>
      <w:r>
        <w:rPr>
          <w:rFonts w:ascii="Times New Roman" w:hAnsi="Times New Roman" w:cs="Times New Roman"/>
          <w:iCs/>
          <w:sz w:val="20"/>
          <w:szCs w:val="20"/>
        </w:rPr>
        <w:t xml:space="preserve">the </w:t>
      </w:r>
      <w:proofErr w:type="spellStart"/>
      <w:r>
        <w:rPr>
          <w:rFonts w:ascii="Times New Roman" w:hAnsi="Times New Roman" w:cs="Times New Roman"/>
          <w:iCs/>
          <w:sz w:val="20"/>
          <w:szCs w:val="20"/>
        </w:rPr>
        <w:t>t</w:t>
      </w:r>
      <w:r w:rsidRPr="00521506">
        <w:rPr>
          <w:rFonts w:ascii="Times New Roman" w:hAnsi="Times New Roman" w:cs="Times New Roman"/>
          <w:iCs/>
          <w:sz w:val="20"/>
          <w:szCs w:val="20"/>
        </w:rPr>
        <w:t>enge</w:t>
      </w:r>
      <w:proofErr w:type="spellEnd"/>
      <w:r w:rsidRPr="00521506">
        <w:rPr>
          <w:rFonts w:ascii="Times New Roman" w:hAnsi="Times New Roman" w:cs="Times New Roman"/>
          <w:iCs/>
          <w:sz w:val="20"/>
          <w:szCs w:val="20"/>
        </w:rPr>
        <w:t xml:space="preserve">, the National </w:t>
      </w:r>
      <w:r>
        <w:rPr>
          <w:rFonts w:ascii="Times New Roman" w:hAnsi="Times New Roman" w:cs="Times New Roman"/>
          <w:iCs/>
          <w:sz w:val="20"/>
          <w:szCs w:val="20"/>
        </w:rPr>
        <w:t>B</w:t>
      </w:r>
      <w:r w:rsidRPr="00521506">
        <w:rPr>
          <w:rFonts w:ascii="Times New Roman" w:hAnsi="Times New Roman" w:cs="Times New Roman"/>
          <w:iCs/>
          <w:sz w:val="20"/>
          <w:szCs w:val="20"/>
        </w:rPr>
        <w:t xml:space="preserve">ank of Kazakhstan heavily intervened in foreign exchange market and </w:t>
      </w:r>
      <w:r>
        <w:rPr>
          <w:rFonts w:ascii="Times New Roman" w:hAnsi="Times New Roman" w:cs="Times New Roman"/>
          <w:iCs/>
          <w:sz w:val="20"/>
          <w:szCs w:val="20"/>
          <w:lang w:val="en-US"/>
        </w:rPr>
        <w:t>spent</w:t>
      </w:r>
      <w:r>
        <w:rPr>
          <w:rFonts w:ascii="Times New Roman" w:hAnsi="Times New Roman" w:cs="Times New Roman"/>
          <w:iCs/>
          <w:sz w:val="20"/>
          <w:szCs w:val="20"/>
        </w:rPr>
        <w:t xml:space="preserve"> </w:t>
      </w:r>
      <w:r w:rsidRPr="00521506">
        <w:rPr>
          <w:rFonts w:ascii="Times New Roman" w:hAnsi="Times New Roman" w:cs="Times New Roman"/>
          <w:iCs/>
          <w:sz w:val="20"/>
          <w:szCs w:val="20"/>
        </w:rPr>
        <w:t xml:space="preserve">more </w:t>
      </w:r>
      <w:r>
        <w:rPr>
          <w:rFonts w:ascii="Times New Roman" w:hAnsi="Times New Roman" w:cs="Times New Roman"/>
          <w:iCs/>
          <w:sz w:val="20"/>
          <w:szCs w:val="20"/>
        </w:rPr>
        <w:t xml:space="preserve">than $9 </w:t>
      </w:r>
      <w:r>
        <w:rPr>
          <w:rFonts w:ascii="Times New Roman" w:hAnsi="Times New Roman" w:cs="Times New Roman"/>
          <w:iCs/>
          <w:sz w:val="20"/>
          <w:szCs w:val="20"/>
          <w:lang w:val="en-US"/>
        </w:rPr>
        <w:t>billion</w:t>
      </w:r>
      <w:r>
        <w:rPr>
          <w:rFonts w:ascii="Times New Roman" w:hAnsi="Times New Roman" w:cs="Times New Roman"/>
          <w:iCs/>
          <w:sz w:val="20"/>
          <w:szCs w:val="20"/>
        </w:rPr>
        <w:t xml:space="preserve"> </w:t>
      </w:r>
      <w:r w:rsidRPr="00521506">
        <w:rPr>
          <w:rFonts w:ascii="Times New Roman" w:hAnsi="Times New Roman" w:cs="Times New Roman"/>
          <w:iCs/>
          <w:sz w:val="20"/>
          <w:szCs w:val="20"/>
        </w:rPr>
        <w:t xml:space="preserve">to </w:t>
      </w:r>
      <w:r>
        <w:rPr>
          <w:rFonts w:ascii="Times New Roman" w:hAnsi="Times New Roman" w:cs="Times New Roman"/>
          <w:iCs/>
          <w:sz w:val="20"/>
          <w:szCs w:val="20"/>
          <w:lang w:val="en-US"/>
        </w:rPr>
        <w:t>stabilize</w:t>
      </w:r>
      <w:r>
        <w:rPr>
          <w:rFonts w:ascii="Times New Roman" w:hAnsi="Times New Roman" w:cs="Times New Roman"/>
          <w:iCs/>
          <w:sz w:val="20"/>
          <w:szCs w:val="20"/>
        </w:rPr>
        <w:t xml:space="preserve"> </w:t>
      </w:r>
      <w:r>
        <w:rPr>
          <w:rFonts w:ascii="Times New Roman" w:hAnsi="Times New Roman" w:cs="Times New Roman"/>
          <w:iCs/>
          <w:sz w:val="20"/>
          <w:szCs w:val="20"/>
          <w:lang w:val="en-US"/>
        </w:rPr>
        <w:t>the</w:t>
      </w:r>
      <w:r>
        <w:rPr>
          <w:rFonts w:ascii="Times New Roman" w:hAnsi="Times New Roman" w:cs="Times New Roman"/>
          <w:iCs/>
          <w:sz w:val="20"/>
          <w:szCs w:val="20"/>
        </w:rPr>
        <w:t xml:space="preserve"> </w:t>
      </w:r>
      <w:r w:rsidRPr="00521506">
        <w:rPr>
          <w:rFonts w:ascii="Times New Roman" w:hAnsi="Times New Roman" w:cs="Times New Roman"/>
          <w:iCs/>
          <w:sz w:val="20"/>
          <w:szCs w:val="20"/>
        </w:rPr>
        <w:t>exchange rate from October 2008 to February 2009</w:t>
      </w:r>
      <w:r>
        <w:rPr>
          <w:rFonts w:ascii="Times New Roman" w:hAnsi="Times New Roman" w:cs="Times New Roman"/>
          <w:iCs/>
          <w:sz w:val="20"/>
          <w:szCs w:val="20"/>
        </w:rPr>
        <w:t xml:space="preserve">. In </w:t>
      </w:r>
      <w:r>
        <w:rPr>
          <w:rFonts w:ascii="Times New Roman" w:hAnsi="Times New Roman" w:cs="Times New Roman"/>
          <w:iCs/>
          <w:sz w:val="20"/>
          <w:szCs w:val="20"/>
          <w:lang w:val="en-US"/>
        </w:rPr>
        <w:t>the</w:t>
      </w:r>
      <w:r>
        <w:rPr>
          <w:rFonts w:ascii="Times New Roman" w:hAnsi="Times New Roman" w:cs="Times New Roman"/>
          <w:iCs/>
          <w:sz w:val="20"/>
          <w:szCs w:val="20"/>
        </w:rPr>
        <w:t xml:space="preserve"> case of the somoni, </w:t>
      </w:r>
      <w:r w:rsidRPr="00521506">
        <w:rPr>
          <w:rFonts w:ascii="Times New Roman" w:hAnsi="Times New Roman" w:cs="Times New Roman"/>
          <w:iCs/>
          <w:sz w:val="20"/>
          <w:szCs w:val="20"/>
        </w:rPr>
        <w:t xml:space="preserve">demand for </w:t>
      </w:r>
      <w:r>
        <w:rPr>
          <w:rFonts w:ascii="Times New Roman" w:hAnsi="Times New Roman" w:cs="Times New Roman"/>
          <w:iCs/>
          <w:sz w:val="20"/>
          <w:szCs w:val="20"/>
          <w:lang w:val="en-US"/>
        </w:rPr>
        <w:t>the</w:t>
      </w:r>
      <w:r>
        <w:rPr>
          <w:rFonts w:ascii="Times New Roman" w:hAnsi="Times New Roman" w:cs="Times New Roman"/>
          <w:iCs/>
          <w:sz w:val="20"/>
          <w:szCs w:val="20"/>
        </w:rPr>
        <w:t xml:space="preserve"> </w:t>
      </w:r>
      <w:r w:rsidRPr="00521506">
        <w:rPr>
          <w:rFonts w:ascii="Times New Roman" w:hAnsi="Times New Roman" w:cs="Times New Roman"/>
          <w:iCs/>
          <w:sz w:val="20"/>
          <w:szCs w:val="20"/>
        </w:rPr>
        <w:t>main export commoditie</w:t>
      </w:r>
      <w:r>
        <w:rPr>
          <w:rFonts w:ascii="Times New Roman" w:hAnsi="Times New Roman" w:cs="Times New Roman"/>
          <w:iCs/>
          <w:sz w:val="20"/>
          <w:szCs w:val="20"/>
        </w:rPr>
        <w:t xml:space="preserve">s of Tajikistan, such as </w:t>
      </w:r>
      <w:proofErr w:type="spellStart"/>
      <w:r>
        <w:rPr>
          <w:rFonts w:ascii="Times New Roman" w:hAnsi="Times New Roman" w:cs="Times New Roman"/>
          <w:iCs/>
          <w:sz w:val="20"/>
          <w:szCs w:val="20"/>
        </w:rPr>
        <w:t>aluminu</w:t>
      </w:r>
      <w:r w:rsidRPr="00521506">
        <w:rPr>
          <w:rFonts w:ascii="Times New Roman" w:hAnsi="Times New Roman" w:cs="Times New Roman"/>
          <w:iCs/>
          <w:sz w:val="20"/>
          <w:szCs w:val="20"/>
        </w:rPr>
        <w:t>m</w:t>
      </w:r>
      <w:proofErr w:type="spellEnd"/>
      <w:r w:rsidRPr="00521506">
        <w:rPr>
          <w:rFonts w:ascii="Times New Roman" w:hAnsi="Times New Roman" w:cs="Times New Roman"/>
          <w:iCs/>
          <w:sz w:val="20"/>
          <w:szCs w:val="20"/>
        </w:rPr>
        <w:t xml:space="preserve"> and cotton, decreased</w:t>
      </w:r>
      <w:r>
        <w:rPr>
          <w:rFonts w:ascii="Times New Roman" w:hAnsi="Times New Roman" w:cs="Times New Roman"/>
          <w:iCs/>
          <w:sz w:val="20"/>
          <w:szCs w:val="20"/>
        </w:rPr>
        <w:t xml:space="preserve"> </w:t>
      </w:r>
      <w:r>
        <w:rPr>
          <w:rFonts w:ascii="Times New Roman" w:hAnsi="Times New Roman" w:cs="Times New Roman"/>
          <w:iCs/>
          <w:sz w:val="20"/>
          <w:szCs w:val="20"/>
          <w:lang w:val="en-US"/>
        </w:rPr>
        <w:t>in</w:t>
      </w:r>
      <w:r>
        <w:rPr>
          <w:rFonts w:ascii="Times New Roman" w:hAnsi="Times New Roman" w:cs="Times New Roman"/>
          <w:iCs/>
          <w:sz w:val="20"/>
          <w:szCs w:val="20"/>
        </w:rPr>
        <w:t xml:space="preserve"> 2008-9. And i</w:t>
      </w:r>
      <w:r w:rsidRPr="00521506">
        <w:rPr>
          <w:rFonts w:ascii="Times New Roman" w:hAnsi="Times New Roman" w:cs="Times New Roman"/>
          <w:iCs/>
          <w:sz w:val="20"/>
          <w:szCs w:val="20"/>
        </w:rPr>
        <w:t>nternational prices</w:t>
      </w:r>
      <w:r>
        <w:rPr>
          <w:rFonts w:ascii="Times New Roman" w:hAnsi="Times New Roman" w:cs="Times New Roman"/>
          <w:iCs/>
          <w:sz w:val="20"/>
          <w:szCs w:val="20"/>
        </w:rPr>
        <w:t xml:space="preserve"> of these commodities decreased</w:t>
      </w:r>
      <w:r w:rsidRPr="00521506">
        <w:rPr>
          <w:rFonts w:ascii="Times New Roman" w:hAnsi="Times New Roman" w:cs="Times New Roman"/>
          <w:iCs/>
          <w:sz w:val="20"/>
          <w:szCs w:val="20"/>
        </w:rPr>
        <w:t xml:space="preserve">. These tendencies </w:t>
      </w:r>
      <w:r>
        <w:rPr>
          <w:rFonts w:ascii="Times New Roman" w:hAnsi="Times New Roman" w:cs="Times New Roman"/>
          <w:iCs/>
          <w:sz w:val="20"/>
          <w:szCs w:val="20"/>
        </w:rPr>
        <w:t>raised</w:t>
      </w:r>
      <w:r w:rsidRPr="00521506">
        <w:rPr>
          <w:rFonts w:ascii="Times New Roman" w:hAnsi="Times New Roman" w:cs="Times New Roman"/>
          <w:iCs/>
          <w:sz w:val="20"/>
          <w:szCs w:val="20"/>
        </w:rPr>
        <w:t xml:space="preserve"> </w:t>
      </w:r>
      <w:r>
        <w:rPr>
          <w:rFonts w:ascii="Times New Roman" w:hAnsi="Times New Roman" w:cs="Times New Roman"/>
          <w:iCs/>
          <w:sz w:val="20"/>
          <w:szCs w:val="20"/>
          <w:lang w:val="en-US"/>
        </w:rPr>
        <w:t>the</w:t>
      </w:r>
      <w:r>
        <w:rPr>
          <w:rFonts w:ascii="Times New Roman" w:hAnsi="Times New Roman" w:cs="Times New Roman"/>
          <w:iCs/>
          <w:sz w:val="20"/>
          <w:szCs w:val="20"/>
        </w:rPr>
        <w:t xml:space="preserve"> </w:t>
      </w:r>
      <w:r>
        <w:rPr>
          <w:rFonts w:ascii="Times New Roman" w:hAnsi="Times New Roman" w:cs="Times New Roman"/>
          <w:iCs/>
          <w:sz w:val="20"/>
          <w:szCs w:val="20"/>
          <w:lang w:val="en-US"/>
        </w:rPr>
        <w:t>trade</w:t>
      </w:r>
      <w:r>
        <w:rPr>
          <w:rFonts w:ascii="Times New Roman" w:hAnsi="Times New Roman" w:cs="Times New Roman"/>
          <w:iCs/>
          <w:sz w:val="20"/>
          <w:szCs w:val="20"/>
        </w:rPr>
        <w:t xml:space="preserve"> </w:t>
      </w:r>
      <w:r w:rsidRPr="00521506">
        <w:rPr>
          <w:rFonts w:ascii="Times New Roman" w:hAnsi="Times New Roman" w:cs="Times New Roman"/>
          <w:iCs/>
          <w:sz w:val="20"/>
          <w:szCs w:val="20"/>
        </w:rPr>
        <w:t xml:space="preserve">deficit and </w:t>
      </w:r>
      <w:r>
        <w:rPr>
          <w:rFonts w:ascii="Times New Roman" w:hAnsi="Times New Roman" w:cs="Times New Roman"/>
          <w:iCs/>
          <w:sz w:val="20"/>
          <w:szCs w:val="20"/>
        </w:rPr>
        <w:t xml:space="preserve">the </w:t>
      </w:r>
      <w:r w:rsidRPr="00521506">
        <w:rPr>
          <w:rFonts w:ascii="Times New Roman" w:hAnsi="Times New Roman" w:cs="Times New Roman"/>
          <w:iCs/>
          <w:sz w:val="20"/>
          <w:szCs w:val="20"/>
        </w:rPr>
        <w:t xml:space="preserve">depreciation rate </w:t>
      </w:r>
      <w:r w:rsidRPr="00521506">
        <w:rPr>
          <w:rFonts w:ascii="Times New Roman" w:hAnsi="Times New Roman" w:cs="Times New Roman"/>
          <w:iCs/>
          <w:sz w:val="20"/>
          <w:szCs w:val="20"/>
          <w:lang w:val="en-US"/>
        </w:rPr>
        <w:t>of</w:t>
      </w:r>
      <w:r>
        <w:rPr>
          <w:rFonts w:ascii="Times New Roman" w:hAnsi="Times New Roman" w:cs="Times New Roman"/>
          <w:iCs/>
          <w:sz w:val="20"/>
          <w:szCs w:val="20"/>
        </w:rPr>
        <w:t xml:space="preserve"> s</w:t>
      </w:r>
      <w:r w:rsidRPr="00521506">
        <w:rPr>
          <w:rFonts w:ascii="Times New Roman" w:hAnsi="Times New Roman" w:cs="Times New Roman"/>
          <w:iCs/>
          <w:sz w:val="20"/>
          <w:szCs w:val="20"/>
        </w:rPr>
        <w:t>omoni.</w:t>
      </w:r>
      <w:r>
        <w:rPr>
          <w:rFonts w:ascii="Times New Roman" w:hAnsi="Times New Roman" w:cs="Times New Roman"/>
          <w:iCs/>
          <w:sz w:val="20"/>
          <w:szCs w:val="20"/>
        </w:rPr>
        <w:t xml:space="preserve"> </w:t>
      </w:r>
    </w:p>
  </w:footnote>
  <w:footnote w:id="6">
    <w:p w:rsidR="00744513" w:rsidRPr="002659D1" w:rsidRDefault="00744513" w:rsidP="00744513">
      <w:pPr>
        <w:pStyle w:val="a9"/>
        <w:rPr>
          <w:rFonts w:ascii="Times New Roman" w:hAnsi="Times New Roman" w:cs="Times New Roman"/>
          <w:sz w:val="20"/>
          <w:szCs w:val="20"/>
        </w:rPr>
      </w:pPr>
      <w:r w:rsidRPr="002659D1">
        <w:rPr>
          <w:rStyle w:val="ab"/>
          <w:rFonts w:ascii="Times New Roman" w:hAnsi="Times New Roman" w:cs="Times New Roman"/>
          <w:sz w:val="20"/>
          <w:szCs w:val="20"/>
        </w:rPr>
        <w:footnoteRef/>
      </w:r>
      <w:r w:rsidRPr="002659D1">
        <w:rPr>
          <w:rFonts w:ascii="Times New Roman" w:hAnsi="Times New Roman" w:cs="Times New Roman"/>
          <w:sz w:val="20"/>
          <w:szCs w:val="20"/>
        </w:rPr>
        <w:t xml:space="preserve"> </w:t>
      </w:r>
      <w:r>
        <w:rPr>
          <w:rFonts w:ascii="Times New Roman" w:hAnsi="Times New Roman" w:cs="Times New Roman"/>
          <w:sz w:val="20"/>
          <w:szCs w:val="20"/>
          <w:lang w:val="en-US"/>
        </w:rPr>
        <w:t>In</w:t>
      </w:r>
      <w:r>
        <w:rPr>
          <w:rFonts w:ascii="Times New Roman" w:hAnsi="Times New Roman" w:cs="Times New Roman"/>
          <w:sz w:val="20"/>
          <w:szCs w:val="20"/>
        </w:rPr>
        <w:t xml:space="preserve"> 1997-2003, Uzbekistan maintained </w:t>
      </w:r>
      <w:r>
        <w:rPr>
          <w:rFonts w:ascii="Times New Roman" w:hAnsi="Times New Roman" w:cs="Times New Roman"/>
          <w:sz w:val="20"/>
          <w:szCs w:val="20"/>
          <w:lang w:val="en-US"/>
        </w:rPr>
        <w:t>several</w:t>
      </w:r>
      <w:r>
        <w:rPr>
          <w:rFonts w:ascii="Times New Roman" w:hAnsi="Times New Roman" w:cs="Times New Roman"/>
          <w:sz w:val="20"/>
          <w:szCs w:val="20"/>
        </w:rPr>
        <w:t xml:space="preserve"> </w:t>
      </w:r>
      <w:r w:rsidRPr="002659D1">
        <w:rPr>
          <w:rFonts w:ascii="Times New Roman" w:hAnsi="Times New Roman" w:cs="Times New Roman"/>
          <w:iCs/>
          <w:sz w:val="20"/>
          <w:szCs w:val="20"/>
        </w:rPr>
        <w:t xml:space="preserve">exchange rates </w:t>
      </w:r>
      <w:proofErr w:type="gramStart"/>
      <w:r>
        <w:rPr>
          <w:rFonts w:ascii="Times New Roman" w:hAnsi="Times New Roman" w:cs="Times New Roman"/>
          <w:iCs/>
          <w:sz w:val="20"/>
          <w:szCs w:val="20"/>
          <w:lang w:val="en-US"/>
        </w:rPr>
        <w:t>in</w:t>
      </w:r>
      <w:r>
        <w:rPr>
          <w:rFonts w:ascii="Times New Roman" w:hAnsi="Times New Roman" w:cs="Times New Roman"/>
          <w:iCs/>
          <w:sz w:val="20"/>
          <w:szCs w:val="20"/>
        </w:rPr>
        <w:t xml:space="preserve"> </w:t>
      </w:r>
      <w:r>
        <w:rPr>
          <w:rFonts w:ascii="Times New Roman" w:hAnsi="Times New Roman" w:cs="Times New Roman"/>
          <w:iCs/>
          <w:sz w:val="20"/>
          <w:szCs w:val="20"/>
          <w:lang w:val="en-US"/>
        </w:rPr>
        <w:t>order</w:t>
      </w:r>
      <w:r>
        <w:rPr>
          <w:rFonts w:ascii="Times New Roman" w:hAnsi="Times New Roman" w:cs="Times New Roman"/>
          <w:iCs/>
          <w:sz w:val="20"/>
          <w:szCs w:val="20"/>
        </w:rPr>
        <w:t xml:space="preserve"> </w:t>
      </w:r>
      <w:r w:rsidRPr="002659D1">
        <w:rPr>
          <w:rFonts w:ascii="Times New Roman" w:hAnsi="Times New Roman" w:cs="Times New Roman"/>
          <w:iCs/>
          <w:sz w:val="20"/>
          <w:szCs w:val="20"/>
        </w:rPr>
        <w:t>to</w:t>
      </w:r>
      <w:proofErr w:type="gramEnd"/>
      <w:r w:rsidRPr="002659D1">
        <w:rPr>
          <w:rFonts w:ascii="Times New Roman" w:hAnsi="Times New Roman" w:cs="Times New Roman"/>
          <w:iCs/>
          <w:sz w:val="20"/>
          <w:szCs w:val="20"/>
        </w:rPr>
        <w:t xml:space="preserve"> promote import-substituting industries and to subsidize basic food imports </w:t>
      </w:r>
      <w:r>
        <w:rPr>
          <w:rFonts w:ascii="Times New Roman" w:hAnsi="Times New Roman" w:cs="Times New Roman"/>
          <w:iCs/>
          <w:sz w:val="20"/>
          <w:szCs w:val="20"/>
          <w:lang w:val="en-US"/>
        </w:rPr>
        <w:t>in</w:t>
      </w:r>
      <w:r>
        <w:rPr>
          <w:rFonts w:ascii="Times New Roman" w:hAnsi="Times New Roman" w:cs="Times New Roman"/>
          <w:iCs/>
          <w:sz w:val="20"/>
          <w:szCs w:val="20"/>
        </w:rPr>
        <w:t xml:space="preserve"> </w:t>
      </w:r>
      <w:r w:rsidRPr="002659D1">
        <w:rPr>
          <w:rFonts w:ascii="Times New Roman" w:hAnsi="Times New Roman" w:cs="Times New Roman"/>
          <w:iCs/>
          <w:sz w:val="20"/>
          <w:szCs w:val="20"/>
        </w:rPr>
        <w:t xml:space="preserve">1997-2003 (Rosenberg and </w:t>
      </w:r>
      <w:proofErr w:type="spellStart"/>
      <w:r w:rsidRPr="002659D1">
        <w:rPr>
          <w:rFonts w:ascii="Times New Roman" w:hAnsi="Times New Roman" w:cs="Times New Roman"/>
          <w:iCs/>
          <w:sz w:val="20"/>
          <w:szCs w:val="20"/>
        </w:rPr>
        <w:t>Zeeuw</w:t>
      </w:r>
      <w:proofErr w:type="spellEnd"/>
      <w:r>
        <w:rPr>
          <w:rFonts w:ascii="Times New Roman" w:hAnsi="Times New Roman" w:cs="Times New Roman"/>
          <w:iCs/>
          <w:sz w:val="20"/>
          <w:szCs w:val="20"/>
        </w:rPr>
        <w:t>,</w:t>
      </w:r>
      <w:r w:rsidRPr="002659D1">
        <w:rPr>
          <w:rFonts w:ascii="Times New Roman" w:hAnsi="Times New Roman" w:cs="Times New Roman"/>
          <w:iCs/>
          <w:sz w:val="20"/>
          <w:szCs w:val="20"/>
        </w:rPr>
        <w:t xml:space="preserve"> 2001). In October 2003, authorities </w:t>
      </w:r>
      <w:r>
        <w:rPr>
          <w:rFonts w:ascii="Times New Roman" w:hAnsi="Times New Roman" w:cs="Times New Roman"/>
          <w:iCs/>
          <w:sz w:val="20"/>
          <w:szCs w:val="20"/>
          <w:lang w:val="en-US"/>
        </w:rPr>
        <w:t xml:space="preserve">unified </w:t>
      </w:r>
      <w:r>
        <w:rPr>
          <w:rFonts w:ascii="Times New Roman" w:hAnsi="Times New Roman" w:cs="Times New Roman"/>
          <w:iCs/>
          <w:sz w:val="20"/>
          <w:szCs w:val="20"/>
        </w:rPr>
        <w:t xml:space="preserve">the </w:t>
      </w:r>
      <w:r w:rsidRPr="002659D1">
        <w:rPr>
          <w:rFonts w:ascii="Times New Roman" w:hAnsi="Times New Roman" w:cs="Times New Roman"/>
          <w:iCs/>
          <w:sz w:val="20"/>
          <w:szCs w:val="20"/>
        </w:rPr>
        <w:t>exchange rates.</w:t>
      </w:r>
    </w:p>
  </w:footnote>
  <w:footnote w:id="7">
    <w:p w:rsidR="00744513" w:rsidRPr="009A6228" w:rsidRDefault="00744513" w:rsidP="00744513">
      <w:pPr>
        <w:pStyle w:val="a9"/>
        <w:rPr>
          <w:lang w:val="en-US"/>
        </w:rPr>
      </w:pPr>
      <w:r w:rsidRPr="009A6228">
        <w:rPr>
          <w:rStyle w:val="ab"/>
          <w:rFonts w:ascii="Times New Roman" w:hAnsi="Times New Roman" w:cs="Times New Roman"/>
        </w:rPr>
        <w:footnoteRef/>
      </w:r>
      <w:r>
        <w:t xml:space="preserve"> </w:t>
      </w:r>
      <w:r>
        <w:rPr>
          <w:rFonts w:ascii="Times New Roman" w:hAnsi="Times New Roman" w:cs="Times New Roman"/>
          <w:sz w:val="20"/>
          <w:szCs w:val="20"/>
          <w:lang w:val="en-US" w:eastAsia="zh-CN"/>
        </w:rPr>
        <w:t>See P</w:t>
      </w:r>
      <w:r w:rsidRPr="009A6228">
        <w:rPr>
          <w:rFonts w:ascii="Times New Roman" w:hAnsi="Times New Roman" w:cs="Times New Roman"/>
          <w:sz w:val="20"/>
          <w:szCs w:val="20"/>
          <w:lang w:val="en-US" w:eastAsia="zh-CN"/>
        </w:rPr>
        <w:t>astor and Damjanovic</w:t>
      </w:r>
      <w:r>
        <w:rPr>
          <w:rFonts w:ascii="Times New Roman" w:hAnsi="Times New Roman" w:cs="Times New Roman"/>
          <w:sz w:val="20"/>
          <w:szCs w:val="20"/>
          <w:lang w:val="en-US" w:eastAsia="zh-CN"/>
        </w:rPr>
        <w:t xml:space="preserve"> (</w:t>
      </w:r>
      <w:r w:rsidRPr="009A6228">
        <w:rPr>
          <w:rFonts w:ascii="Times New Roman" w:hAnsi="Times New Roman" w:cs="Times New Roman"/>
          <w:sz w:val="20"/>
          <w:szCs w:val="20"/>
          <w:lang w:val="en-US" w:eastAsia="zh-CN"/>
        </w:rPr>
        <w:t>2001</w:t>
      </w:r>
      <w:r>
        <w:rPr>
          <w:rFonts w:ascii="Times New Roman" w:hAnsi="Times New Roman" w:cs="Times New Roman"/>
          <w:sz w:val="20"/>
          <w:szCs w:val="20"/>
          <w:lang w:val="en-US" w:eastAsia="zh-CN"/>
        </w:rPr>
        <w:t>).</w:t>
      </w:r>
    </w:p>
  </w:footnote>
  <w:footnote w:id="8">
    <w:p w:rsidR="00744513" w:rsidRPr="0074218E" w:rsidRDefault="00744513" w:rsidP="00744513">
      <w:pPr>
        <w:pStyle w:val="a9"/>
        <w:rPr>
          <w:rFonts w:ascii="Times New Roman" w:hAnsi="Times New Roman" w:cs="Times New Roman"/>
          <w:sz w:val="20"/>
          <w:szCs w:val="20"/>
        </w:rPr>
      </w:pPr>
      <w:r w:rsidRPr="00E95D3C">
        <w:rPr>
          <w:rFonts w:ascii="Times New Roman" w:hAnsi="Times New Roman" w:cs="Times New Roman"/>
          <w:sz w:val="20"/>
          <w:szCs w:val="20"/>
          <w:vertAlign w:val="superscript"/>
        </w:rPr>
        <w:footnoteRef/>
      </w:r>
      <w:r w:rsidRPr="00E95D3C">
        <w:rPr>
          <w:rFonts w:ascii="Times New Roman" w:hAnsi="Times New Roman" w:cs="Times New Roman"/>
          <w:sz w:val="20"/>
          <w:szCs w:val="20"/>
        </w:rPr>
        <w:t xml:space="preserve"> </w:t>
      </w:r>
      <w:r>
        <w:rPr>
          <w:rFonts w:ascii="Times New Roman" w:hAnsi="Times New Roman" w:cs="Times New Roman"/>
          <w:sz w:val="20"/>
          <w:szCs w:val="20"/>
        </w:rPr>
        <w:t>See R</w:t>
      </w:r>
      <w:r w:rsidRPr="0074218E">
        <w:rPr>
          <w:rFonts w:ascii="Times New Roman" w:hAnsi="Times New Roman" w:cs="Times New Roman"/>
          <w:sz w:val="20"/>
          <w:szCs w:val="20"/>
        </w:rPr>
        <w:t>obert Mundell (1961).</w:t>
      </w:r>
    </w:p>
  </w:footnote>
  <w:footnote w:id="9">
    <w:p w:rsidR="00744513" w:rsidRPr="0074218E" w:rsidRDefault="00744513" w:rsidP="00744513">
      <w:pPr>
        <w:pStyle w:val="a9"/>
        <w:rPr>
          <w:rFonts w:ascii="Times New Roman" w:hAnsi="Times New Roman" w:cs="Times New Roman"/>
          <w:sz w:val="20"/>
          <w:szCs w:val="20"/>
        </w:rPr>
      </w:pPr>
      <w:r w:rsidRPr="0074218E">
        <w:rPr>
          <w:rStyle w:val="ab"/>
          <w:rFonts w:ascii="Times New Roman" w:hAnsi="Times New Roman" w:cs="Times New Roman"/>
          <w:sz w:val="20"/>
          <w:szCs w:val="20"/>
        </w:rPr>
        <w:footnoteRef/>
      </w:r>
      <w:r w:rsidRPr="0074218E">
        <w:rPr>
          <w:rFonts w:ascii="Times New Roman" w:hAnsi="Times New Roman" w:cs="Times New Roman"/>
          <w:sz w:val="20"/>
          <w:szCs w:val="20"/>
        </w:rPr>
        <w:t xml:space="preserve"> Fahad </w:t>
      </w:r>
      <w:proofErr w:type="spellStart"/>
      <w:r w:rsidRPr="0074218E">
        <w:rPr>
          <w:rFonts w:ascii="Times New Roman" w:hAnsi="Times New Roman" w:cs="Times New Roman"/>
          <w:sz w:val="20"/>
          <w:szCs w:val="20"/>
        </w:rPr>
        <w:t>Alturky</w:t>
      </w:r>
      <w:proofErr w:type="spellEnd"/>
      <w:r w:rsidRPr="0074218E">
        <w:rPr>
          <w:rFonts w:ascii="Times New Roman" w:hAnsi="Times New Roman" w:cs="Times New Roman"/>
          <w:sz w:val="20"/>
          <w:szCs w:val="20"/>
        </w:rPr>
        <w:t xml:space="preserve"> et al. (2009) examine the extent to which the growth rates in CIS countries are linked to developments in </w:t>
      </w:r>
      <w:r w:rsidRPr="0074218E">
        <w:rPr>
          <w:rFonts w:ascii="Times New Roman" w:hAnsi="Times New Roman" w:cs="Times New Roman"/>
          <w:sz w:val="20"/>
          <w:szCs w:val="20"/>
          <w:lang w:val="en-US"/>
        </w:rPr>
        <w:t>Russia</w:t>
      </w:r>
      <w:r>
        <w:rPr>
          <w:rFonts w:ascii="Times New Roman" w:hAnsi="Times New Roman" w:cs="Times New Roman"/>
          <w:sz w:val="20"/>
          <w:szCs w:val="20"/>
        </w:rPr>
        <w:t>.</w:t>
      </w:r>
      <w:r w:rsidRPr="0074218E">
        <w:rPr>
          <w:rFonts w:ascii="Times New Roman" w:hAnsi="Times New Roman" w:cs="Times New Roman"/>
          <w:sz w:val="20"/>
          <w:szCs w:val="20"/>
        </w:rPr>
        <w:t xml:space="preserve"> </w:t>
      </w:r>
      <w:r w:rsidRPr="0074218E">
        <w:rPr>
          <w:rFonts w:ascii="Times New Roman" w:hAnsi="Times New Roman" w:cs="Times New Roman"/>
          <w:sz w:val="20"/>
          <w:szCs w:val="20"/>
          <w:lang w:val="en-US"/>
        </w:rPr>
        <w:t>The</w:t>
      </w:r>
      <w:r w:rsidRPr="0074218E">
        <w:rPr>
          <w:rFonts w:ascii="Times New Roman" w:hAnsi="Times New Roman" w:cs="Times New Roman"/>
          <w:sz w:val="20"/>
          <w:szCs w:val="20"/>
        </w:rPr>
        <w:t xml:space="preserve"> </w:t>
      </w:r>
      <w:r w:rsidRPr="0074218E">
        <w:rPr>
          <w:rFonts w:ascii="Times New Roman" w:hAnsi="Times New Roman" w:cs="Times New Roman"/>
          <w:sz w:val="20"/>
          <w:szCs w:val="20"/>
          <w:lang w:val="en-US"/>
        </w:rPr>
        <w:t>paper</w:t>
      </w:r>
      <w:r w:rsidRPr="0074218E">
        <w:rPr>
          <w:rFonts w:ascii="Times New Roman" w:hAnsi="Times New Roman" w:cs="Times New Roman"/>
          <w:sz w:val="20"/>
          <w:szCs w:val="20"/>
        </w:rPr>
        <w:t xml:space="preserve"> </w:t>
      </w:r>
      <w:r w:rsidRPr="0074218E">
        <w:rPr>
          <w:rFonts w:ascii="Times New Roman" w:hAnsi="Times New Roman" w:cs="Times New Roman"/>
          <w:sz w:val="20"/>
          <w:szCs w:val="20"/>
          <w:lang w:val="en-US"/>
        </w:rPr>
        <w:t>finds</w:t>
      </w:r>
      <w:r w:rsidRPr="0074218E">
        <w:rPr>
          <w:rFonts w:ascii="Times New Roman" w:hAnsi="Times New Roman" w:cs="Times New Roman"/>
          <w:sz w:val="20"/>
          <w:szCs w:val="20"/>
        </w:rPr>
        <w:t xml:space="preserve"> an increasing </w:t>
      </w:r>
      <w:r w:rsidRPr="0074218E">
        <w:rPr>
          <w:rFonts w:ascii="Times New Roman" w:hAnsi="Times New Roman" w:cs="Times New Roman"/>
          <w:sz w:val="20"/>
          <w:szCs w:val="20"/>
          <w:lang w:val="en-US"/>
        </w:rPr>
        <w:t>Russian</w:t>
      </w:r>
      <w:r w:rsidRPr="0074218E">
        <w:rPr>
          <w:rFonts w:ascii="Times New Roman" w:hAnsi="Times New Roman" w:cs="Times New Roman"/>
          <w:sz w:val="20"/>
          <w:szCs w:val="20"/>
        </w:rPr>
        <w:t xml:space="preserve"> influence </w:t>
      </w:r>
      <w:r w:rsidRPr="0074218E">
        <w:rPr>
          <w:rFonts w:ascii="Times New Roman" w:hAnsi="Times New Roman" w:cs="Times New Roman"/>
          <w:sz w:val="20"/>
          <w:szCs w:val="20"/>
          <w:lang w:val="en-US"/>
        </w:rPr>
        <w:t>on</w:t>
      </w:r>
      <w:r w:rsidRPr="0074218E">
        <w:rPr>
          <w:rFonts w:ascii="Times New Roman" w:hAnsi="Times New Roman" w:cs="Times New Roman"/>
          <w:sz w:val="20"/>
          <w:szCs w:val="20"/>
        </w:rPr>
        <w:t xml:space="preserve"> Central Asian economies through remittances and financial channels. </w:t>
      </w:r>
    </w:p>
  </w:footnote>
  <w:footnote w:id="10">
    <w:p w:rsidR="00744513" w:rsidRPr="00C55899" w:rsidRDefault="00744513" w:rsidP="00744513">
      <w:pPr>
        <w:pStyle w:val="a9"/>
        <w:rPr>
          <w:rFonts w:ascii="Times New Roman" w:hAnsi="Times New Roman" w:cs="Times New Roman"/>
          <w:sz w:val="20"/>
          <w:szCs w:val="20"/>
        </w:rPr>
      </w:pPr>
      <w:r w:rsidRPr="00C55899">
        <w:rPr>
          <w:rStyle w:val="ab"/>
          <w:rFonts w:ascii="Times New Roman" w:hAnsi="Times New Roman" w:cs="Times New Roman"/>
          <w:sz w:val="20"/>
          <w:szCs w:val="20"/>
        </w:rPr>
        <w:footnoteRef/>
      </w:r>
      <w:r w:rsidRPr="00C55899">
        <w:rPr>
          <w:rFonts w:ascii="Times New Roman" w:hAnsi="Times New Roman" w:cs="Times New Roman"/>
          <w:sz w:val="20"/>
          <w:szCs w:val="20"/>
        </w:rPr>
        <w:t xml:space="preserve"> </w:t>
      </w:r>
      <w:proofErr w:type="spellStart"/>
      <w:r w:rsidRPr="00C55899">
        <w:rPr>
          <w:rFonts w:ascii="Times New Roman" w:hAnsi="Times New Roman" w:cs="Times New Roman"/>
          <w:sz w:val="20"/>
          <w:szCs w:val="20"/>
        </w:rPr>
        <w:t>Cavoli</w:t>
      </w:r>
      <w:proofErr w:type="spellEnd"/>
      <w:r w:rsidRPr="00C55899">
        <w:rPr>
          <w:rFonts w:ascii="Times New Roman" w:hAnsi="Times New Roman" w:cs="Times New Roman"/>
          <w:sz w:val="20"/>
          <w:szCs w:val="20"/>
        </w:rPr>
        <w:t xml:space="preserve"> and </w:t>
      </w:r>
      <w:proofErr w:type="spellStart"/>
      <w:r w:rsidRPr="00C55899">
        <w:rPr>
          <w:rFonts w:ascii="Times New Roman" w:hAnsi="Times New Roman" w:cs="Times New Roman"/>
          <w:sz w:val="20"/>
          <w:szCs w:val="20"/>
        </w:rPr>
        <w:t>Rajan</w:t>
      </w:r>
      <w:proofErr w:type="spellEnd"/>
      <w:r w:rsidRPr="00C55899">
        <w:rPr>
          <w:rFonts w:ascii="Times New Roman" w:hAnsi="Times New Roman" w:cs="Times New Roman"/>
          <w:sz w:val="20"/>
          <w:szCs w:val="20"/>
        </w:rPr>
        <w:t xml:space="preserve"> (2007) state that the standard deviation of the coefficient </w:t>
      </w:r>
      <w:r>
        <w:rPr>
          <w:rFonts w:ascii="Times New Roman" w:hAnsi="Times New Roman" w:cs="Times New Roman"/>
          <w:sz w:val="20"/>
          <w:szCs w:val="20"/>
          <w:lang w:val="en-US"/>
        </w:rPr>
        <w:t>can</w:t>
      </w:r>
      <w:r>
        <w:rPr>
          <w:rFonts w:ascii="Times New Roman" w:hAnsi="Times New Roman" w:cs="Times New Roman"/>
          <w:sz w:val="20"/>
          <w:szCs w:val="20"/>
        </w:rPr>
        <w:t xml:space="preserve"> </w:t>
      </w:r>
      <w:r>
        <w:rPr>
          <w:rFonts w:ascii="Times New Roman" w:hAnsi="Times New Roman" w:cs="Times New Roman"/>
          <w:sz w:val="20"/>
          <w:szCs w:val="20"/>
          <w:lang w:val="en-US"/>
        </w:rPr>
        <w:t>inform</w:t>
      </w:r>
      <w:r>
        <w:rPr>
          <w:rFonts w:ascii="Times New Roman" w:hAnsi="Times New Roman" w:cs="Times New Roman"/>
          <w:sz w:val="20"/>
          <w:szCs w:val="20"/>
        </w:rPr>
        <w:t xml:space="preserve"> us</w:t>
      </w:r>
      <w:r w:rsidRPr="00C55899">
        <w:rPr>
          <w:rFonts w:ascii="Times New Roman" w:hAnsi="Times New Roman" w:cs="Times New Roman"/>
          <w:sz w:val="20"/>
          <w:szCs w:val="20"/>
        </w:rPr>
        <w:t>. For example, a small standard deviation implies that</w:t>
      </w:r>
      <w:r>
        <w:rPr>
          <w:rFonts w:ascii="Times New Roman" w:hAnsi="Times New Roman" w:cs="Times New Roman"/>
          <w:sz w:val="20"/>
          <w:szCs w:val="20"/>
        </w:rPr>
        <w:t xml:space="preserve"> the monetary authority tries</w:t>
      </w:r>
      <w:r w:rsidRPr="00C55899">
        <w:rPr>
          <w:rFonts w:ascii="Times New Roman" w:hAnsi="Times New Roman" w:cs="Times New Roman"/>
          <w:sz w:val="20"/>
          <w:szCs w:val="20"/>
        </w:rPr>
        <w:t xml:space="preserve"> to maintain the correlation </w:t>
      </w:r>
      <w:r>
        <w:rPr>
          <w:rFonts w:ascii="Times New Roman" w:hAnsi="Times New Roman" w:cs="Times New Roman"/>
          <w:sz w:val="20"/>
          <w:szCs w:val="20"/>
        </w:rPr>
        <w:t xml:space="preserve">between </w:t>
      </w:r>
      <w:r>
        <w:rPr>
          <w:rFonts w:ascii="Times New Roman" w:hAnsi="Times New Roman" w:cs="Times New Roman"/>
          <w:sz w:val="20"/>
          <w:szCs w:val="20"/>
          <w:lang w:val="en-US"/>
        </w:rPr>
        <w:t>its</w:t>
      </w:r>
      <w:r>
        <w:rPr>
          <w:rFonts w:ascii="Times New Roman" w:hAnsi="Times New Roman" w:cs="Times New Roman"/>
          <w:sz w:val="20"/>
          <w:szCs w:val="20"/>
        </w:rPr>
        <w:t xml:space="preserve"> </w:t>
      </w:r>
      <w:r>
        <w:rPr>
          <w:rFonts w:ascii="Times New Roman" w:hAnsi="Times New Roman" w:cs="Times New Roman"/>
          <w:sz w:val="20"/>
          <w:szCs w:val="20"/>
          <w:lang w:val="en-US"/>
        </w:rPr>
        <w:t>own</w:t>
      </w:r>
      <w:r>
        <w:rPr>
          <w:rFonts w:ascii="Times New Roman" w:hAnsi="Times New Roman" w:cs="Times New Roman"/>
          <w:sz w:val="20"/>
          <w:szCs w:val="20"/>
        </w:rPr>
        <w:t xml:space="preserve"> currency </w:t>
      </w:r>
      <w:r>
        <w:rPr>
          <w:rFonts w:ascii="Times New Roman" w:hAnsi="Times New Roman" w:cs="Times New Roman"/>
          <w:sz w:val="20"/>
          <w:szCs w:val="20"/>
          <w:lang w:val="en-US"/>
        </w:rPr>
        <w:t>and</w:t>
      </w:r>
      <w:r>
        <w:rPr>
          <w:rFonts w:ascii="Times New Roman" w:hAnsi="Times New Roman" w:cs="Times New Roman"/>
          <w:sz w:val="20"/>
          <w:szCs w:val="20"/>
        </w:rPr>
        <w:t xml:space="preserve"> </w:t>
      </w:r>
      <w:r>
        <w:rPr>
          <w:rFonts w:ascii="Times New Roman" w:hAnsi="Times New Roman" w:cs="Times New Roman"/>
          <w:sz w:val="20"/>
          <w:szCs w:val="20"/>
          <w:lang w:val="en-US"/>
        </w:rPr>
        <w:t>a</w:t>
      </w:r>
      <w:r>
        <w:rPr>
          <w:rFonts w:ascii="Times New Roman" w:hAnsi="Times New Roman" w:cs="Times New Roman"/>
          <w:sz w:val="20"/>
          <w:szCs w:val="20"/>
        </w:rPr>
        <w:t xml:space="preserve"> </w:t>
      </w:r>
      <w:r>
        <w:rPr>
          <w:rFonts w:ascii="Times New Roman" w:hAnsi="Times New Roman" w:cs="Times New Roman"/>
          <w:sz w:val="20"/>
          <w:szCs w:val="20"/>
          <w:lang w:val="en-US"/>
        </w:rPr>
        <w:t>major</w:t>
      </w:r>
      <w:r>
        <w:rPr>
          <w:rFonts w:ascii="Times New Roman" w:hAnsi="Times New Roman" w:cs="Times New Roman"/>
          <w:sz w:val="20"/>
          <w:szCs w:val="20"/>
        </w:rPr>
        <w:t xml:space="preserve"> </w:t>
      </w:r>
      <w:r>
        <w:rPr>
          <w:rFonts w:ascii="Times New Roman" w:hAnsi="Times New Roman" w:cs="Times New Roman"/>
          <w:sz w:val="20"/>
          <w:szCs w:val="20"/>
          <w:lang w:val="en-US"/>
        </w:rPr>
        <w:t>one</w:t>
      </w:r>
      <w:r>
        <w:rPr>
          <w:rFonts w:ascii="Times New Roman" w:hAnsi="Times New Roman" w:cs="Times New Roman"/>
          <w:sz w:val="20"/>
          <w:szCs w:val="20"/>
        </w:rPr>
        <w:t xml:space="preserve">, </w:t>
      </w:r>
      <w:r w:rsidRPr="00C55899">
        <w:rPr>
          <w:rFonts w:ascii="Times New Roman" w:hAnsi="Times New Roman" w:cs="Times New Roman"/>
          <w:sz w:val="20"/>
          <w:szCs w:val="20"/>
        </w:rPr>
        <w:t>through market intervention.</w:t>
      </w:r>
    </w:p>
  </w:footnote>
  <w:footnote w:id="11">
    <w:p w:rsidR="00744513" w:rsidRDefault="00744513" w:rsidP="00744513">
      <w:pPr>
        <w:pStyle w:val="a9"/>
      </w:pPr>
      <w:r w:rsidRPr="00DD629B">
        <w:rPr>
          <w:rStyle w:val="ab"/>
          <w:rFonts w:ascii="Times New Roman" w:hAnsi="Times New Roman" w:cs="Times New Roman"/>
          <w:sz w:val="20"/>
          <w:szCs w:val="20"/>
        </w:rPr>
        <w:footnoteRef/>
      </w:r>
      <w:r>
        <w:t xml:space="preserve"> </w:t>
      </w:r>
      <w:r>
        <w:rPr>
          <w:rFonts w:ascii="Times New Roman" w:hAnsi="Times New Roman" w:cs="Times New Roman"/>
          <w:sz w:val="20"/>
          <w:szCs w:val="20"/>
        </w:rPr>
        <w:t xml:space="preserve">See </w:t>
      </w:r>
      <w:proofErr w:type="spellStart"/>
      <w:r w:rsidRPr="00A742D1">
        <w:rPr>
          <w:rFonts w:ascii="Times New Roman" w:hAnsi="Times New Roman" w:cs="Times New Roman"/>
          <w:sz w:val="20"/>
          <w:szCs w:val="20"/>
        </w:rPr>
        <w:t>Gissy</w:t>
      </w:r>
      <w:proofErr w:type="spellEnd"/>
      <w:r w:rsidRPr="00A742D1">
        <w:rPr>
          <w:rFonts w:ascii="Times New Roman" w:hAnsi="Times New Roman" w:cs="Times New Roman"/>
          <w:sz w:val="20"/>
          <w:szCs w:val="20"/>
        </w:rPr>
        <w:t xml:space="preserve"> (2009)</w:t>
      </w:r>
      <w:r>
        <w:rPr>
          <w:rFonts w:ascii="Times New Roman" w:hAnsi="Times New Roman" w:cs="Times New Roman"/>
          <w:sz w:val="20"/>
          <w:szCs w:val="20"/>
        </w:rPr>
        <w:t>.</w:t>
      </w:r>
    </w:p>
  </w:footnote>
  <w:footnote w:id="12">
    <w:p w:rsidR="00744513" w:rsidRPr="00A02345" w:rsidRDefault="00744513" w:rsidP="00744513">
      <w:pPr>
        <w:pStyle w:val="a9"/>
        <w:rPr>
          <w:lang w:val="en-US"/>
        </w:rPr>
      </w:pPr>
      <w:r>
        <w:rPr>
          <w:rStyle w:val="ab"/>
        </w:rPr>
        <w:footnoteRef/>
      </w:r>
      <w:r>
        <w:t xml:space="preserve"> </w:t>
      </w:r>
      <w:r w:rsidRPr="006D3114">
        <w:rPr>
          <w:rFonts w:ascii="Times New Roman" w:hAnsi="Times New Roman" w:cs="Times New Roman"/>
          <w:sz w:val="20"/>
          <w:szCs w:val="20"/>
          <w:lang w:val="en-US"/>
        </w:rPr>
        <w:t>This</w:t>
      </w:r>
      <w:r w:rsidRPr="006D3114">
        <w:rPr>
          <w:rFonts w:ascii="Times New Roman" w:hAnsi="Times New Roman" w:cs="Times New Roman"/>
          <w:sz w:val="20"/>
          <w:szCs w:val="20"/>
        </w:rPr>
        <w:t xml:space="preserve"> </w:t>
      </w:r>
      <w:r w:rsidRPr="006D3114">
        <w:rPr>
          <w:rFonts w:ascii="Times New Roman" w:hAnsi="Times New Roman" w:cs="Times New Roman"/>
          <w:sz w:val="20"/>
          <w:szCs w:val="20"/>
          <w:lang w:val="en-US"/>
        </w:rPr>
        <w:t>is</w:t>
      </w:r>
      <w:r w:rsidRPr="006D3114">
        <w:rPr>
          <w:rFonts w:ascii="Times New Roman" w:hAnsi="Times New Roman" w:cs="Times New Roman"/>
          <w:sz w:val="20"/>
          <w:szCs w:val="20"/>
        </w:rPr>
        <w:t xml:space="preserve"> a</w:t>
      </w:r>
      <w:proofErr w:type="spellStart"/>
      <w:r w:rsidRPr="006D3114">
        <w:rPr>
          <w:rFonts w:ascii="Times New Roman" w:hAnsi="Times New Roman" w:cs="Times New Roman"/>
          <w:sz w:val="20"/>
          <w:szCs w:val="20"/>
          <w:lang w:val="en-US"/>
        </w:rPr>
        <w:t>ccording</w:t>
      </w:r>
      <w:proofErr w:type="spellEnd"/>
      <w:r w:rsidRPr="006D3114">
        <w:rPr>
          <w:rFonts w:ascii="Times New Roman" w:hAnsi="Times New Roman" w:cs="Times New Roman"/>
          <w:sz w:val="20"/>
          <w:szCs w:val="20"/>
          <w:lang w:val="en-US"/>
        </w:rPr>
        <w:t xml:space="preserve"> to the IMF’s press release issued on November 11, 2003. IMF members that accept Article VIII of the IMF’s Articles of Agreement should not impose restrictions on payments for current transactions and engage in discriminatory currency practices</w:t>
      </w:r>
      <w:r>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037007467"/>
      <w:docPartObj>
        <w:docPartGallery w:val="Page Numbers (Top of Page)"/>
        <w:docPartUnique/>
      </w:docPartObj>
    </w:sdtPr>
    <w:sdtContent>
      <w:p w:rsidR="0047690F" w:rsidRDefault="0047690F">
        <w:pPr>
          <w:pStyle w:val="af0"/>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7690F" w:rsidRDefault="0047690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BA8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000000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3"/>
    <w:multiLevelType w:val="multilevel"/>
    <w:tmpl w:val="000000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0000004"/>
    <w:multiLevelType w:val="multilevel"/>
    <w:tmpl w:val="00000004"/>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5" w15:restartNumberingAfterBreak="0">
    <w:nsid w:val="04E61292"/>
    <w:multiLevelType w:val="hybridMultilevel"/>
    <w:tmpl w:val="96D617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183FA1"/>
    <w:multiLevelType w:val="hybridMultilevel"/>
    <w:tmpl w:val="7D8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A18E6"/>
    <w:multiLevelType w:val="hybridMultilevel"/>
    <w:tmpl w:val="BD9A6D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40397C"/>
    <w:multiLevelType w:val="multilevel"/>
    <w:tmpl w:val="0000000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9E93F"/>
    <w:multiLevelType w:val="multilevel"/>
    <w:tmpl w:val="B18A9320"/>
    <w:lvl w:ilvl="0">
      <w:numFmt w:val="bullet"/>
      <w:lvlText w:val="•"/>
      <w:lvlJc w:val="left"/>
      <w:pPr>
        <w:tabs>
          <w:tab w:val="num" w:pos="-1440"/>
        </w:tabs>
        <w:ind w:left="-960" w:hanging="480"/>
      </w:pPr>
    </w:lvl>
    <w:lvl w:ilvl="1">
      <w:numFmt w:val="bullet"/>
      <w:lvlText w:val="–"/>
      <w:lvlJc w:val="left"/>
      <w:pPr>
        <w:tabs>
          <w:tab w:val="num" w:pos="-720"/>
        </w:tabs>
        <w:ind w:left="-240" w:hanging="480"/>
      </w:pPr>
    </w:lvl>
    <w:lvl w:ilvl="2">
      <w:numFmt w:val="bullet"/>
      <w:lvlText w:val="•"/>
      <w:lvlJc w:val="left"/>
      <w:pPr>
        <w:tabs>
          <w:tab w:val="num" w:pos="0"/>
        </w:tabs>
        <w:ind w:left="480" w:hanging="480"/>
      </w:pPr>
    </w:lvl>
    <w:lvl w:ilvl="3">
      <w:numFmt w:val="bullet"/>
      <w:lvlText w:val="–"/>
      <w:lvlJc w:val="left"/>
      <w:pPr>
        <w:tabs>
          <w:tab w:val="num" w:pos="720"/>
        </w:tabs>
        <w:ind w:left="1200" w:hanging="480"/>
      </w:pPr>
    </w:lvl>
    <w:lvl w:ilvl="4">
      <w:numFmt w:val="bullet"/>
      <w:lvlText w:val="•"/>
      <w:lvlJc w:val="left"/>
      <w:pPr>
        <w:tabs>
          <w:tab w:val="num" w:pos="1440"/>
        </w:tabs>
        <w:ind w:left="1920" w:hanging="480"/>
      </w:pPr>
    </w:lvl>
    <w:lvl w:ilvl="5">
      <w:numFmt w:val="bullet"/>
      <w:lvlText w:val="–"/>
      <w:lvlJc w:val="left"/>
      <w:pPr>
        <w:tabs>
          <w:tab w:val="num" w:pos="2160"/>
        </w:tabs>
        <w:ind w:left="2640" w:hanging="480"/>
      </w:pPr>
    </w:lvl>
    <w:lvl w:ilvl="6">
      <w:numFmt w:val="bullet"/>
      <w:lvlText w:val="•"/>
      <w:lvlJc w:val="left"/>
      <w:pPr>
        <w:tabs>
          <w:tab w:val="num" w:pos="2880"/>
        </w:tabs>
        <w:ind w:left="3360" w:hanging="480"/>
      </w:p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FF05777"/>
    <w:multiLevelType w:val="multilevel"/>
    <w:tmpl w:val="2FF0577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329D6A17"/>
    <w:multiLevelType w:val="hybridMultilevel"/>
    <w:tmpl w:val="A34ABE7C"/>
    <w:lvl w:ilvl="0" w:tplc="8012D5F8">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A7162F"/>
    <w:multiLevelType w:val="hybridMultilevel"/>
    <w:tmpl w:val="A0E8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F0496"/>
    <w:multiLevelType w:val="hybridMultilevel"/>
    <w:tmpl w:val="2D3CE164"/>
    <w:lvl w:ilvl="0" w:tplc="75942E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41BF2"/>
    <w:multiLevelType w:val="hybridMultilevel"/>
    <w:tmpl w:val="7678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96CE0"/>
    <w:multiLevelType w:val="multilevel"/>
    <w:tmpl w:val="5A996CE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 w15:restartNumberingAfterBreak="0">
    <w:nsid w:val="632836B0"/>
    <w:multiLevelType w:val="hybridMultilevel"/>
    <w:tmpl w:val="5D9C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ED74C"/>
    <w:multiLevelType w:val="multilevel"/>
    <w:tmpl w:val="38265C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19" w15:restartNumberingAfterBreak="0">
    <w:nsid w:val="795B6508"/>
    <w:multiLevelType w:val="hybridMultilevel"/>
    <w:tmpl w:val="8E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9"/>
  </w:num>
  <w:num w:numId="5">
    <w:abstractNumId w:val="6"/>
  </w:num>
  <w:num w:numId="6">
    <w:abstractNumId w:val="12"/>
  </w:num>
  <w:num w:numId="7">
    <w:abstractNumId w:val="14"/>
  </w:num>
  <w:num w:numId="8">
    <w:abstractNumId w:val="16"/>
  </w:num>
  <w:num w:numId="9">
    <w:abstractNumId w:val="19"/>
  </w:num>
  <w:num w:numId="10">
    <w:abstractNumId w:val="17"/>
  </w:num>
  <w:num w:numId="11">
    <w:abstractNumId w:val="7"/>
  </w:num>
  <w:num w:numId="12">
    <w:abstractNumId w:val="0"/>
  </w:num>
  <w:num w:numId="13">
    <w:abstractNumId w:val="2"/>
  </w:num>
  <w:num w:numId="14">
    <w:abstractNumId w:val="10"/>
  </w:num>
  <w:num w:numId="15">
    <w:abstractNumId w:val="4"/>
  </w:num>
  <w:num w:numId="16">
    <w:abstractNumId w:val="15"/>
  </w:num>
  <w:num w:numId="17">
    <w:abstractNumId w:val="3"/>
  </w:num>
  <w:num w:numId="18">
    <w:abstractNumId w:val="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13"/>
    <w:rsid w:val="0047690F"/>
    <w:rsid w:val="00744513"/>
    <w:rsid w:val="00A32732"/>
    <w:rsid w:val="00A736BD"/>
    <w:rsid w:val="00B260D3"/>
    <w:rsid w:val="00DC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07D2ADD"/>
  <w15:chartTrackingRefBased/>
  <w15:docId w15:val="{102E13B5-C4C9-4ABC-B2AA-F04ABC5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44513"/>
    <w:pPr>
      <w:widowControl w:val="0"/>
      <w:spacing w:after="0" w:line="240" w:lineRule="auto"/>
    </w:pPr>
  </w:style>
  <w:style w:type="paragraph" w:styleId="1">
    <w:name w:val="heading 1"/>
    <w:basedOn w:val="a"/>
    <w:link w:val="10"/>
    <w:qFormat/>
    <w:rsid w:val="00744513"/>
    <w:pPr>
      <w:spacing w:before="63"/>
      <w:ind w:left="492"/>
      <w:outlineLvl w:val="0"/>
    </w:pPr>
    <w:rPr>
      <w:rFonts w:ascii="Times New Roman" w:eastAsia="Times New Roman" w:hAnsi="Times New Roman"/>
      <w:b/>
      <w:bCs/>
      <w:sz w:val="28"/>
      <w:szCs w:val="28"/>
    </w:rPr>
  </w:style>
  <w:style w:type="paragraph" w:styleId="2">
    <w:name w:val="heading 2"/>
    <w:basedOn w:val="a"/>
    <w:link w:val="20"/>
    <w:qFormat/>
    <w:rsid w:val="00744513"/>
    <w:pPr>
      <w:ind w:left="360"/>
      <w:outlineLvl w:val="1"/>
    </w:pPr>
    <w:rPr>
      <w:rFonts w:ascii="Times New Roman" w:eastAsia="Times New Roman" w:hAnsi="Times New Roman"/>
      <w:b/>
      <w:bCs/>
      <w:sz w:val="24"/>
      <w:szCs w:val="24"/>
    </w:rPr>
  </w:style>
  <w:style w:type="paragraph" w:styleId="3">
    <w:name w:val="heading 3"/>
    <w:basedOn w:val="a"/>
    <w:link w:val="30"/>
    <w:qFormat/>
    <w:rsid w:val="00744513"/>
    <w:pPr>
      <w:widowControl/>
      <w:shd w:val="clear" w:color="auto" w:fill="FFFFFF"/>
      <w:spacing w:before="240" w:after="120"/>
      <w:outlineLvl w:val="2"/>
    </w:pPr>
    <w:rPr>
      <w:rFonts w:ascii="Times New Roman" w:eastAsia="Batang" w:hAnsi="Times New Roman" w:cs="Times New Roman"/>
      <w:b/>
      <w:bCs/>
      <w:color w:val="333399"/>
      <w:sz w:val="24"/>
      <w:szCs w:val="24"/>
      <w:lang w:val="ru-RU" w:eastAsia="ru-RU"/>
    </w:rPr>
  </w:style>
  <w:style w:type="paragraph" w:styleId="4">
    <w:name w:val="heading 4"/>
    <w:basedOn w:val="a"/>
    <w:next w:val="a"/>
    <w:link w:val="40"/>
    <w:qFormat/>
    <w:rsid w:val="00744513"/>
    <w:pPr>
      <w:keepNext/>
      <w:widowControl/>
      <w:spacing w:line="360" w:lineRule="auto"/>
      <w:jc w:val="center"/>
      <w:outlineLvl w:val="3"/>
    </w:pPr>
    <w:rPr>
      <w:rFonts w:ascii="Times New Roman" w:eastAsia="Times New Roman" w:hAnsi="Times New Roman" w:cs="Times New Roman"/>
      <w:sz w:val="24"/>
      <w:szCs w:val="20"/>
      <w:lang w:val="pl-PL" w:eastAsia="pl-PL"/>
    </w:rPr>
  </w:style>
  <w:style w:type="paragraph" w:styleId="5">
    <w:name w:val="heading 5"/>
    <w:basedOn w:val="a"/>
    <w:next w:val="a"/>
    <w:link w:val="50"/>
    <w:qFormat/>
    <w:rsid w:val="00744513"/>
    <w:pPr>
      <w:keepNext/>
      <w:widowControl/>
      <w:spacing w:line="360" w:lineRule="auto"/>
      <w:jc w:val="both"/>
      <w:outlineLvl w:val="4"/>
    </w:pPr>
    <w:rPr>
      <w:rFonts w:ascii="Times New Roman" w:eastAsia="Times New Roman" w:hAnsi="Times New Roman" w:cs="Times New Roman"/>
      <w:sz w:val="24"/>
      <w:szCs w:val="20"/>
      <w:u w:val="single"/>
      <w:lang w:val="pl-PL" w:eastAsia="pl-PL"/>
    </w:rPr>
  </w:style>
  <w:style w:type="paragraph" w:styleId="6">
    <w:name w:val="heading 6"/>
    <w:basedOn w:val="a"/>
    <w:next w:val="a"/>
    <w:link w:val="60"/>
    <w:qFormat/>
    <w:rsid w:val="00744513"/>
    <w:pPr>
      <w:keepNext/>
      <w:widowControl/>
      <w:spacing w:line="360" w:lineRule="auto"/>
      <w:ind w:left="4956" w:firstLine="708"/>
      <w:jc w:val="both"/>
      <w:outlineLvl w:val="5"/>
    </w:pPr>
    <w:rPr>
      <w:rFonts w:ascii="Times New Roman" w:eastAsia="Times New Roman" w:hAnsi="Times New Roman" w:cs="Times New Roman"/>
      <w:sz w:val="24"/>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513"/>
    <w:rPr>
      <w:rFonts w:ascii="Times New Roman" w:eastAsia="Times New Roman" w:hAnsi="Times New Roman"/>
      <w:b/>
      <w:bCs/>
      <w:sz w:val="28"/>
      <w:szCs w:val="28"/>
    </w:rPr>
  </w:style>
  <w:style w:type="character" w:customStyle="1" w:styleId="20">
    <w:name w:val="Заголовок 2 Знак"/>
    <w:basedOn w:val="a0"/>
    <w:link w:val="2"/>
    <w:rsid w:val="00744513"/>
    <w:rPr>
      <w:rFonts w:ascii="Times New Roman" w:eastAsia="Times New Roman" w:hAnsi="Times New Roman"/>
      <w:b/>
      <w:bCs/>
      <w:sz w:val="24"/>
      <w:szCs w:val="24"/>
    </w:rPr>
  </w:style>
  <w:style w:type="character" w:customStyle="1" w:styleId="30">
    <w:name w:val="Заголовок 3 Знак"/>
    <w:basedOn w:val="a0"/>
    <w:link w:val="3"/>
    <w:rsid w:val="00744513"/>
    <w:rPr>
      <w:rFonts w:ascii="Times New Roman" w:eastAsia="Batang" w:hAnsi="Times New Roman" w:cs="Times New Roman"/>
      <w:b/>
      <w:bCs/>
      <w:color w:val="333399"/>
      <w:sz w:val="24"/>
      <w:szCs w:val="24"/>
      <w:shd w:val="clear" w:color="auto" w:fill="FFFFFF"/>
      <w:lang w:val="ru-RU" w:eastAsia="ru-RU"/>
    </w:rPr>
  </w:style>
  <w:style w:type="character" w:customStyle="1" w:styleId="40">
    <w:name w:val="Заголовок 4 Знак"/>
    <w:basedOn w:val="a0"/>
    <w:link w:val="4"/>
    <w:rsid w:val="00744513"/>
    <w:rPr>
      <w:rFonts w:ascii="Times New Roman" w:eastAsia="Times New Roman" w:hAnsi="Times New Roman" w:cs="Times New Roman"/>
      <w:sz w:val="24"/>
      <w:szCs w:val="20"/>
      <w:lang w:val="pl-PL" w:eastAsia="pl-PL"/>
    </w:rPr>
  </w:style>
  <w:style w:type="character" w:customStyle="1" w:styleId="50">
    <w:name w:val="Заголовок 5 Знак"/>
    <w:basedOn w:val="a0"/>
    <w:link w:val="5"/>
    <w:rsid w:val="00744513"/>
    <w:rPr>
      <w:rFonts w:ascii="Times New Roman" w:eastAsia="Times New Roman" w:hAnsi="Times New Roman" w:cs="Times New Roman"/>
      <w:sz w:val="24"/>
      <w:szCs w:val="20"/>
      <w:u w:val="single"/>
      <w:lang w:val="pl-PL" w:eastAsia="pl-PL"/>
    </w:rPr>
  </w:style>
  <w:style w:type="character" w:customStyle="1" w:styleId="60">
    <w:name w:val="Заголовок 6 Знак"/>
    <w:basedOn w:val="a0"/>
    <w:link w:val="6"/>
    <w:rsid w:val="00744513"/>
    <w:rPr>
      <w:rFonts w:ascii="Times New Roman" w:eastAsia="Times New Roman" w:hAnsi="Times New Roman" w:cs="Times New Roman"/>
      <w:sz w:val="24"/>
      <w:szCs w:val="20"/>
      <w:lang w:val="pl-PL" w:eastAsia="pl-PL"/>
    </w:rPr>
  </w:style>
  <w:style w:type="paragraph" w:styleId="11">
    <w:name w:val="toc 1"/>
    <w:basedOn w:val="a"/>
    <w:uiPriority w:val="1"/>
    <w:qFormat/>
    <w:rsid w:val="00744513"/>
    <w:pPr>
      <w:spacing w:before="555"/>
      <w:ind w:left="82"/>
    </w:pPr>
    <w:rPr>
      <w:rFonts w:ascii="Times New Roman" w:eastAsia="Times New Roman" w:hAnsi="Times New Roman"/>
      <w:b/>
      <w:bCs/>
      <w:sz w:val="28"/>
      <w:szCs w:val="28"/>
    </w:rPr>
  </w:style>
  <w:style w:type="paragraph" w:styleId="21">
    <w:name w:val="toc 2"/>
    <w:basedOn w:val="a"/>
    <w:uiPriority w:val="1"/>
    <w:qFormat/>
    <w:rsid w:val="00744513"/>
    <w:pPr>
      <w:spacing w:before="278"/>
      <w:ind w:left="100"/>
    </w:pPr>
    <w:rPr>
      <w:rFonts w:ascii="Times New Roman" w:eastAsia="Times New Roman" w:hAnsi="Times New Roman"/>
      <w:b/>
      <w:bCs/>
      <w:sz w:val="24"/>
      <w:szCs w:val="24"/>
    </w:rPr>
  </w:style>
  <w:style w:type="paragraph" w:styleId="31">
    <w:name w:val="toc 3"/>
    <w:basedOn w:val="a"/>
    <w:uiPriority w:val="1"/>
    <w:qFormat/>
    <w:rsid w:val="00744513"/>
    <w:pPr>
      <w:ind w:left="100"/>
    </w:pPr>
    <w:rPr>
      <w:rFonts w:ascii="Times New Roman" w:eastAsia="Times New Roman" w:hAnsi="Times New Roman"/>
      <w:sz w:val="24"/>
      <w:szCs w:val="24"/>
    </w:rPr>
  </w:style>
  <w:style w:type="paragraph" w:styleId="a3">
    <w:name w:val="Body Text"/>
    <w:basedOn w:val="a"/>
    <w:link w:val="a4"/>
    <w:qFormat/>
    <w:rsid w:val="00744513"/>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rsid w:val="00744513"/>
    <w:rPr>
      <w:rFonts w:ascii="Times New Roman" w:eastAsia="Times New Roman" w:hAnsi="Times New Roman"/>
      <w:sz w:val="24"/>
      <w:szCs w:val="24"/>
    </w:rPr>
  </w:style>
  <w:style w:type="paragraph" w:styleId="a5">
    <w:name w:val="Balloon Text"/>
    <w:basedOn w:val="a"/>
    <w:link w:val="a6"/>
    <w:unhideWhenUsed/>
    <w:rsid w:val="00744513"/>
    <w:rPr>
      <w:rFonts w:ascii="Tahoma" w:hAnsi="Tahoma" w:cs="Tahoma"/>
      <w:sz w:val="16"/>
      <w:szCs w:val="16"/>
    </w:rPr>
  </w:style>
  <w:style w:type="character" w:customStyle="1" w:styleId="a6">
    <w:name w:val="Текст выноски Знак"/>
    <w:basedOn w:val="a0"/>
    <w:link w:val="a5"/>
    <w:rsid w:val="00744513"/>
    <w:rPr>
      <w:rFonts w:ascii="Tahoma" w:hAnsi="Tahoma" w:cs="Tahoma"/>
      <w:sz w:val="16"/>
      <w:szCs w:val="16"/>
    </w:rPr>
  </w:style>
  <w:style w:type="character" w:styleId="a7">
    <w:name w:val="Hyperlink"/>
    <w:rsid w:val="00744513"/>
    <w:rPr>
      <w:strike w:val="0"/>
      <w:dstrike w:val="0"/>
      <w:color w:val="002BB8"/>
      <w:u w:val="none"/>
      <w:effect w:val="none"/>
    </w:rPr>
  </w:style>
  <w:style w:type="paragraph" w:styleId="a8">
    <w:name w:val="Normal (Web)"/>
    <w:basedOn w:val="a"/>
    <w:rsid w:val="00744513"/>
    <w:pPr>
      <w:widowControl/>
      <w:spacing w:before="96" w:after="120" w:line="360" w:lineRule="atLeast"/>
    </w:pPr>
    <w:rPr>
      <w:rFonts w:ascii="MS PGothic" w:eastAsia="MS PGothic" w:hAnsi="MS PGothic" w:cs="MS PGothic"/>
      <w:sz w:val="24"/>
      <w:szCs w:val="24"/>
      <w:lang w:val="en-GB" w:eastAsia="ja-JP"/>
    </w:rPr>
  </w:style>
  <w:style w:type="paragraph" w:styleId="a9">
    <w:name w:val="footnote text"/>
    <w:basedOn w:val="a"/>
    <w:link w:val="aa"/>
    <w:rsid w:val="00744513"/>
    <w:pPr>
      <w:snapToGrid w:val="0"/>
    </w:pPr>
    <w:rPr>
      <w:rFonts w:ascii="Arial" w:eastAsia="Arial Unicode MS" w:hAnsi="Arial" w:cs="Arial Unicode MS"/>
      <w:kern w:val="2"/>
      <w:sz w:val="21"/>
      <w:szCs w:val="24"/>
      <w:lang w:val="en-GB" w:eastAsia="ja-JP"/>
    </w:rPr>
  </w:style>
  <w:style w:type="character" w:customStyle="1" w:styleId="aa">
    <w:name w:val="Текст сноски Знак"/>
    <w:basedOn w:val="a0"/>
    <w:link w:val="a9"/>
    <w:rsid w:val="00744513"/>
    <w:rPr>
      <w:rFonts w:ascii="Arial" w:eastAsia="Arial Unicode MS" w:hAnsi="Arial" w:cs="Arial Unicode MS"/>
      <w:kern w:val="2"/>
      <w:sz w:val="21"/>
      <w:szCs w:val="24"/>
      <w:lang w:val="en-GB" w:eastAsia="ja-JP"/>
    </w:rPr>
  </w:style>
  <w:style w:type="character" w:styleId="ab">
    <w:name w:val="footnote reference"/>
    <w:rsid w:val="00744513"/>
    <w:rPr>
      <w:vertAlign w:val="superscript"/>
    </w:rPr>
  </w:style>
  <w:style w:type="paragraph" w:styleId="ac">
    <w:name w:val="footer"/>
    <w:basedOn w:val="a"/>
    <w:link w:val="ad"/>
    <w:rsid w:val="00744513"/>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d">
    <w:name w:val="Нижний колонтитул Знак"/>
    <w:basedOn w:val="a0"/>
    <w:link w:val="ac"/>
    <w:rsid w:val="00744513"/>
    <w:rPr>
      <w:rFonts w:ascii="Arial" w:eastAsia="Arial Unicode MS" w:hAnsi="Arial" w:cs="Times New Roman"/>
      <w:kern w:val="2"/>
      <w:sz w:val="21"/>
      <w:szCs w:val="24"/>
      <w:lang w:eastAsia="ja-JP"/>
    </w:rPr>
  </w:style>
  <w:style w:type="character" w:styleId="ae">
    <w:name w:val="page number"/>
    <w:basedOn w:val="a0"/>
    <w:rsid w:val="00744513"/>
  </w:style>
  <w:style w:type="paragraph" w:customStyle="1" w:styleId="Default">
    <w:name w:val="Default"/>
    <w:rsid w:val="00744513"/>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character" w:styleId="af">
    <w:name w:val="Strong"/>
    <w:qFormat/>
    <w:rsid w:val="00744513"/>
    <w:rPr>
      <w:b/>
      <w:bCs/>
    </w:rPr>
  </w:style>
  <w:style w:type="paragraph" w:styleId="af0">
    <w:name w:val="header"/>
    <w:basedOn w:val="a"/>
    <w:link w:val="af1"/>
    <w:uiPriority w:val="99"/>
    <w:rsid w:val="00744513"/>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f1">
    <w:name w:val="Верхний колонтитул Знак"/>
    <w:basedOn w:val="a0"/>
    <w:link w:val="af0"/>
    <w:uiPriority w:val="99"/>
    <w:rsid w:val="00744513"/>
    <w:rPr>
      <w:rFonts w:ascii="Arial" w:eastAsia="Arial Unicode MS" w:hAnsi="Arial" w:cs="Times New Roman"/>
      <w:kern w:val="2"/>
      <w:sz w:val="21"/>
      <w:szCs w:val="24"/>
      <w:lang w:eastAsia="ja-JP"/>
    </w:rPr>
  </w:style>
  <w:style w:type="character" w:styleId="af2">
    <w:name w:val="annotation reference"/>
    <w:rsid w:val="00744513"/>
    <w:rPr>
      <w:sz w:val="18"/>
      <w:szCs w:val="18"/>
    </w:rPr>
  </w:style>
  <w:style w:type="paragraph" w:styleId="af3">
    <w:name w:val="annotation text"/>
    <w:basedOn w:val="a"/>
    <w:link w:val="af4"/>
    <w:rsid w:val="00744513"/>
    <w:pPr>
      <w:jc w:val="both"/>
    </w:pPr>
    <w:rPr>
      <w:rFonts w:ascii="Arial" w:eastAsia="Arial Unicode MS" w:hAnsi="Arial" w:cs="Times New Roman"/>
      <w:kern w:val="2"/>
      <w:sz w:val="24"/>
      <w:szCs w:val="24"/>
      <w:lang w:eastAsia="ja-JP"/>
    </w:rPr>
  </w:style>
  <w:style w:type="character" w:customStyle="1" w:styleId="af4">
    <w:name w:val="Текст примечания Знак"/>
    <w:basedOn w:val="a0"/>
    <w:link w:val="af3"/>
    <w:rsid w:val="00744513"/>
    <w:rPr>
      <w:rFonts w:ascii="Arial" w:eastAsia="Arial Unicode MS" w:hAnsi="Arial" w:cs="Times New Roman"/>
      <w:kern w:val="2"/>
      <w:sz w:val="24"/>
      <w:szCs w:val="24"/>
      <w:lang w:eastAsia="ja-JP"/>
    </w:rPr>
  </w:style>
  <w:style w:type="paragraph" w:styleId="af5">
    <w:name w:val="annotation subject"/>
    <w:basedOn w:val="af3"/>
    <w:next w:val="af3"/>
    <w:link w:val="af6"/>
    <w:rsid w:val="00744513"/>
    <w:rPr>
      <w:b/>
      <w:bCs/>
    </w:rPr>
  </w:style>
  <w:style w:type="character" w:customStyle="1" w:styleId="af6">
    <w:name w:val="Тема примечания Знак"/>
    <w:basedOn w:val="af4"/>
    <w:link w:val="af5"/>
    <w:rsid w:val="00744513"/>
    <w:rPr>
      <w:rFonts w:ascii="Arial" w:eastAsia="Arial Unicode MS" w:hAnsi="Arial" w:cs="Times New Roman"/>
      <w:b/>
      <w:bCs/>
      <w:kern w:val="2"/>
      <w:sz w:val="24"/>
      <w:szCs w:val="24"/>
      <w:lang w:eastAsia="ja-JP"/>
    </w:rPr>
  </w:style>
  <w:style w:type="paragraph" w:styleId="af7">
    <w:name w:val="Revision"/>
    <w:hidden/>
    <w:uiPriority w:val="71"/>
    <w:rsid w:val="00744513"/>
    <w:pPr>
      <w:spacing w:after="0" w:line="240" w:lineRule="auto"/>
    </w:pPr>
    <w:rPr>
      <w:rFonts w:ascii="Arial" w:eastAsia="Arial Unicode MS" w:hAnsi="Arial" w:cs="Arial Unicode MS"/>
      <w:kern w:val="2"/>
      <w:sz w:val="21"/>
      <w:szCs w:val="24"/>
      <w:lang w:val="en-GB" w:eastAsia="ja-JP"/>
    </w:rPr>
  </w:style>
  <w:style w:type="paragraph" w:customStyle="1" w:styleId="WasteEng-H1">
    <w:name w:val="WasteEng-H1"/>
    <w:basedOn w:val="a"/>
    <w:next w:val="a"/>
    <w:rsid w:val="00744513"/>
    <w:pPr>
      <w:widowControl/>
      <w:spacing w:before="240" w:after="120" w:line="264" w:lineRule="auto"/>
      <w:jc w:val="both"/>
    </w:pPr>
    <w:rPr>
      <w:rFonts w:ascii="Times New Roman" w:eastAsia="Batang" w:hAnsi="Times New Roman" w:cs="Times New Roman"/>
      <w:b/>
      <w:kern w:val="28"/>
      <w:sz w:val="24"/>
      <w:szCs w:val="20"/>
      <w:lang w:val="en-GB" w:eastAsia="es-ES"/>
    </w:rPr>
  </w:style>
  <w:style w:type="paragraph" w:customStyle="1" w:styleId="BulletedList">
    <w:name w:val="Bulleted List"/>
    <w:basedOn w:val="a"/>
    <w:semiHidden/>
    <w:rsid w:val="00744513"/>
    <w:pPr>
      <w:widowControl/>
      <w:numPr>
        <w:numId w:val="2"/>
      </w:numPr>
      <w:spacing w:line="264" w:lineRule="auto"/>
      <w:ind w:left="567" w:hanging="283"/>
      <w:jc w:val="both"/>
    </w:pPr>
    <w:rPr>
      <w:rFonts w:ascii="Times New Roman" w:eastAsia="Batang" w:hAnsi="Times New Roman" w:cs="Times New Roman"/>
      <w:kern w:val="28"/>
      <w:sz w:val="20"/>
      <w:szCs w:val="20"/>
      <w:lang w:val="en-GB" w:eastAsia="es-ES"/>
    </w:rPr>
  </w:style>
  <w:style w:type="paragraph" w:customStyle="1" w:styleId="WasteEng-H2">
    <w:name w:val="WasteEng-H2"/>
    <w:basedOn w:val="a"/>
    <w:next w:val="a"/>
    <w:rsid w:val="00744513"/>
    <w:pPr>
      <w:widowControl/>
      <w:spacing w:before="120" w:line="264" w:lineRule="auto"/>
      <w:jc w:val="both"/>
    </w:pPr>
    <w:rPr>
      <w:rFonts w:ascii="Times New Roman" w:eastAsia="Batang" w:hAnsi="Times New Roman" w:cs="Times New Roman"/>
      <w:b/>
      <w:kern w:val="28"/>
      <w:sz w:val="20"/>
      <w:szCs w:val="20"/>
      <w:lang w:val="en-GB" w:eastAsia="es-ES"/>
    </w:rPr>
  </w:style>
  <w:style w:type="paragraph" w:customStyle="1" w:styleId="WasteEng-BulletedList">
    <w:name w:val="WasteEng-Bulleted List"/>
    <w:basedOn w:val="BulletedList"/>
    <w:rsid w:val="00744513"/>
    <w:pPr>
      <w:tabs>
        <w:tab w:val="left" w:pos="284"/>
      </w:tabs>
      <w:ind w:left="283"/>
    </w:pPr>
  </w:style>
  <w:style w:type="paragraph" w:customStyle="1" w:styleId="WasteEng-TCaption">
    <w:name w:val="WasteEng-TCaption"/>
    <w:basedOn w:val="a"/>
    <w:rsid w:val="00744513"/>
    <w:pPr>
      <w:widowControl/>
      <w:spacing w:before="120" w:after="120" w:line="264" w:lineRule="auto"/>
      <w:ind w:left="1540" w:right="830" w:hanging="709"/>
      <w:jc w:val="both"/>
    </w:pPr>
    <w:rPr>
      <w:rFonts w:ascii="Times New Roman" w:eastAsia="Batang" w:hAnsi="Times New Roman" w:cs="Times New Roman"/>
      <w:i/>
      <w:iCs/>
      <w:kern w:val="28"/>
      <w:sz w:val="18"/>
      <w:szCs w:val="20"/>
      <w:lang w:val="en-GB" w:eastAsia="es-ES"/>
    </w:rPr>
  </w:style>
  <w:style w:type="paragraph" w:customStyle="1" w:styleId="WasteEng-Equation">
    <w:name w:val="WasteEng-Equation"/>
    <w:basedOn w:val="a"/>
    <w:rsid w:val="00744513"/>
    <w:pPr>
      <w:widowControl/>
      <w:tabs>
        <w:tab w:val="right" w:pos="7087"/>
      </w:tabs>
      <w:spacing w:before="60" w:after="60" w:line="264" w:lineRule="auto"/>
      <w:jc w:val="both"/>
    </w:pPr>
    <w:rPr>
      <w:rFonts w:ascii="Times New Roman" w:eastAsia="Batang" w:hAnsi="Times New Roman" w:cs="Times New Roman"/>
      <w:kern w:val="28"/>
      <w:sz w:val="20"/>
      <w:szCs w:val="20"/>
      <w:lang w:val="en-GB" w:eastAsia="es-ES"/>
    </w:rPr>
  </w:style>
  <w:style w:type="character" w:styleId="af8">
    <w:name w:val="Emphasis"/>
    <w:qFormat/>
    <w:rsid w:val="00744513"/>
    <w:rPr>
      <w:i/>
    </w:rPr>
  </w:style>
  <w:style w:type="character" w:styleId="HTML">
    <w:name w:val="HTML Cite"/>
    <w:rsid w:val="00744513"/>
    <w:rPr>
      <w:i/>
    </w:rPr>
  </w:style>
  <w:style w:type="paragraph" w:customStyle="1" w:styleId="xl26">
    <w:name w:val="xl26"/>
    <w:basedOn w:val="a"/>
    <w:rsid w:val="00744513"/>
    <w:pPr>
      <w:widowControl/>
      <w:pBdr>
        <w:top w:val="single" w:sz="8" w:space="0" w:color="auto"/>
        <w:right w:val="single" w:sz="8" w:space="0" w:color="auto"/>
      </w:pBdr>
      <w:spacing w:before="100" w:beforeAutospacing="1" w:after="100" w:afterAutospacing="1"/>
      <w:jc w:val="center"/>
    </w:pPr>
    <w:rPr>
      <w:rFonts w:ascii="Times New Roman" w:eastAsia="Batang" w:hAnsi="Times New Roman" w:cs="Times New Roman"/>
      <w:sz w:val="24"/>
      <w:szCs w:val="24"/>
    </w:rPr>
  </w:style>
  <w:style w:type="paragraph" w:styleId="af9">
    <w:name w:val="Document Map"/>
    <w:basedOn w:val="a"/>
    <w:link w:val="afa"/>
    <w:semiHidden/>
    <w:rsid w:val="00744513"/>
    <w:pPr>
      <w:widowControl/>
      <w:shd w:val="clear" w:color="auto" w:fill="000080"/>
    </w:pPr>
    <w:rPr>
      <w:rFonts w:ascii="Arial" w:eastAsia="Dotum" w:hAnsi="Arial" w:cs="Times New Roman"/>
      <w:sz w:val="24"/>
      <w:szCs w:val="24"/>
      <w:lang w:val="ru-RU" w:eastAsia="ru-RU"/>
    </w:rPr>
  </w:style>
  <w:style w:type="character" w:customStyle="1" w:styleId="afa">
    <w:name w:val="Схема документа Знак"/>
    <w:basedOn w:val="a0"/>
    <w:link w:val="af9"/>
    <w:semiHidden/>
    <w:rsid w:val="00744513"/>
    <w:rPr>
      <w:rFonts w:ascii="Arial" w:eastAsia="Dotum" w:hAnsi="Arial" w:cs="Times New Roman"/>
      <w:sz w:val="24"/>
      <w:szCs w:val="24"/>
      <w:shd w:val="clear" w:color="auto" w:fill="000080"/>
      <w:lang w:val="ru-RU" w:eastAsia="ru-RU"/>
    </w:rPr>
  </w:style>
  <w:style w:type="character" w:customStyle="1" w:styleId="VerbatimChar">
    <w:name w:val="Verbatim Char"/>
    <w:link w:val="SourceCode"/>
    <w:locked/>
    <w:rsid w:val="00744513"/>
    <w:rPr>
      <w:rFonts w:ascii="Consolas" w:hAnsi="Consolas"/>
    </w:rPr>
  </w:style>
  <w:style w:type="character" w:customStyle="1" w:styleId="Link">
    <w:name w:val="Link"/>
    <w:rsid w:val="00744513"/>
    <w:rPr>
      <w:color w:val="4F81BD"/>
    </w:rPr>
  </w:style>
  <w:style w:type="paragraph" w:customStyle="1" w:styleId="SourceCode">
    <w:name w:val="Source Code"/>
    <w:basedOn w:val="a"/>
    <w:link w:val="VerbatimChar"/>
    <w:rsid w:val="00744513"/>
    <w:pPr>
      <w:widowControl/>
      <w:wordWrap w:val="0"/>
      <w:ind w:firstLine="720"/>
    </w:pPr>
    <w:rPr>
      <w:rFonts w:ascii="Consolas" w:hAnsi="Consolas"/>
    </w:rPr>
  </w:style>
  <w:style w:type="character" w:customStyle="1" w:styleId="FootnoteRef">
    <w:name w:val="Footnote Ref"/>
    <w:rsid w:val="00744513"/>
    <w:rPr>
      <w:vertAlign w:val="superscript"/>
    </w:rPr>
  </w:style>
  <w:style w:type="character" w:styleId="afb">
    <w:name w:val="Placeholder Text"/>
    <w:semiHidden/>
    <w:rsid w:val="00744513"/>
    <w:rPr>
      <w:rFonts w:cs="Times New Roman"/>
      <w:color w:val="808080"/>
    </w:rPr>
  </w:style>
  <w:style w:type="table" w:styleId="afc">
    <w:name w:val="Table Grid"/>
    <w:basedOn w:val="a1"/>
    <w:rsid w:val="00744513"/>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a"/>
    <w:rsid w:val="00744513"/>
    <w:pPr>
      <w:widowControl/>
      <w:spacing w:after="120"/>
    </w:pPr>
    <w:rPr>
      <w:rFonts w:ascii="Cambria" w:eastAsia="Times New Roman" w:hAnsi="Cambria" w:cs="Times New Roman"/>
      <w:i/>
      <w:sz w:val="20"/>
      <w:szCs w:val="20"/>
      <w:lang w:val="ru-RU" w:eastAsia="ru-RU"/>
    </w:rPr>
  </w:style>
  <w:style w:type="paragraph" w:styleId="afd">
    <w:name w:val="caption"/>
    <w:basedOn w:val="a"/>
    <w:next w:val="a"/>
    <w:qFormat/>
    <w:rsid w:val="00744513"/>
    <w:pPr>
      <w:widowControl/>
      <w:spacing w:after="200"/>
    </w:pPr>
    <w:rPr>
      <w:rFonts w:ascii="Times New Roman" w:eastAsia="Batang" w:hAnsi="Times New Roman" w:cs="Times New Roman"/>
      <w:b/>
      <w:bCs/>
      <w:color w:val="4F81BD"/>
      <w:sz w:val="18"/>
      <w:szCs w:val="18"/>
      <w:lang w:val="ru-RU" w:eastAsia="ru-RU"/>
    </w:rPr>
  </w:style>
  <w:style w:type="paragraph" w:customStyle="1" w:styleId="ColorfulList-Accent11">
    <w:name w:val="Colorful List - Accent 11"/>
    <w:basedOn w:val="a"/>
    <w:qFormat/>
    <w:rsid w:val="00744513"/>
    <w:pPr>
      <w:widowControl/>
      <w:spacing w:before="60" w:after="60"/>
      <w:ind w:left="720"/>
    </w:pPr>
    <w:rPr>
      <w:rFonts w:ascii="Times New Roman" w:eastAsia="Batang" w:hAnsi="Times New Roman" w:cs="Times New Roman"/>
      <w:sz w:val="24"/>
      <w:szCs w:val="24"/>
      <w:lang w:val="ru-RU" w:eastAsia="ru-RU"/>
    </w:rPr>
  </w:style>
  <w:style w:type="paragraph" w:customStyle="1" w:styleId="TableParagraph">
    <w:name w:val="Table Paragraph"/>
    <w:basedOn w:val="a"/>
    <w:rsid w:val="00744513"/>
    <w:rPr>
      <w:rFonts w:ascii="Cambria" w:eastAsia="Times New Roman" w:hAnsi="Cambria" w:cs="Times New Roman"/>
    </w:rPr>
  </w:style>
  <w:style w:type="character" w:styleId="afe">
    <w:name w:val="FollowedHyperlink"/>
    <w:rsid w:val="00744513"/>
    <w:rPr>
      <w:rFonts w:cs="Times New Roman"/>
      <w:color w:val="800080"/>
      <w:u w:val="single"/>
    </w:rPr>
  </w:style>
  <w:style w:type="character" w:customStyle="1" w:styleId="lsbb">
    <w:name w:val="lsbb"/>
    <w:rsid w:val="00744513"/>
  </w:style>
  <w:style w:type="character" w:customStyle="1" w:styleId="wb">
    <w:name w:val="wb"/>
    <w:rsid w:val="00744513"/>
    <w:rPr>
      <w:rFonts w:ascii="Times New Roman" w:eastAsia="SimSun" w:hAnsi="Times New Roman" w:cs="Times New Roman"/>
      <w:sz w:val="16"/>
      <w:szCs w:val="16"/>
    </w:rPr>
  </w:style>
  <w:style w:type="character" w:customStyle="1" w:styleId="ayu-ayx-axo-ady-awe">
    <w:name w:val="ayu-ayx-axo-ady-awe"/>
    <w:rsid w:val="00744513"/>
    <w:rPr>
      <w:rFonts w:ascii="Times New Roman" w:eastAsia="SimSun" w:hAnsi="Times New Roman" w:cs="Times New Roman"/>
    </w:rPr>
  </w:style>
  <w:style w:type="character" w:customStyle="1" w:styleId="ayu-ayx-axo-ady-felnvc">
    <w:name w:val="ayu-ayx-axo-ady-felnvc"/>
    <w:rsid w:val="00744513"/>
    <w:rPr>
      <w:rFonts w:ascii="Times New Roman" w:eastAsia="SimSun" w:hAnsi="Times New Roman" w:cs="Times New Roman"/>
      <w:color w:val="777777"/>
    </w:rPr>
  </w:style>
  <w:style w:type="character" w:customStyle="1" w:styleId="wh">
    <w:name w:val="wh"/>
    <w:rsid w:val="00744513"/>
    <w:rPr>
      <w:rFonts w:ascii="Courier New" w:eastAsia="SimSun" w:hAnsi="Courier New" w:cs="Courier New"/>
      <w:color w:val="DDDD00"/>
    </w:rPr>
  </w:style>
  <w:style w:type="character" w:customStyle="1" w:styleId="hps">
    <w:name w:val="hps"/>
    <w:rsid w:val="00744513"/>
    <w:rPr>
      <w:rFonts w:ascii="Times New Roman" w:eastAsia="Times New Roman" w:hAnsi="Times New Roman" w:cs="Times New Roman"/>
    </w:rPr>
  </w:style>
  <w:style w:type="character" w:customStyle="1" w:styleId="font21">
    <w:name w:val="font21"/>
    <w:rsid w:val="00744513"/>
    <w:rPr>
      <w:rFonts w:ascii="Times New Roman" w:eastAsia="SimSun" w:hAnsi="Times New Roman" w:cs="Times New Roman"/>
      <w:b/>
      <w:i w:val="0"/>
      <w:color w:val="000000"/>
      <w:sz w:val="48"/>
      <w:szCs w:val="48"/>
    </w:rPr>
  </w:style>
  <w:style w:type="paragraph" w:styleId="22">
    <w:name w:val="Body Text Indent 2"/>
    <w:basedOn w:val="a"/>
    <w:link w:val="23"/>
    <w:rsid w:val="00744513"/>
    <w:pPr>
      <w:widowControl/>
      <w:spacing w:line="360" w:lineRule="auto"/>
      <w:ind w:left="360" w:firstLine="348"/>
      <w:jc w:val="both"/>
    </w:pPr>
    <w:rPr>
      <w:rFonts w:ascii="Times New Roman" w:eastAsia="Times New Roman" w:hAnsi="Times New Roman" w:cs="Times New Roman"/>
      <w:sz w:val="24"/>
      <w:szCs w:val="20"/>
      <w:lang w:val="pl-PL" w:eastAsia="pl-PL"/>
    </w:rPr>
  </w:style>
  <w:style w:type="character" w:customStyle="1" w:styleId="23">
    <w:name w:val="Основной текст с отступом 2 Знак"/>
    <w:basedOn w:val="a0"/>
    <w:link w:val="22"/>
    <w:rsid w:val="00744513"/>
    <w:rPr>
      <w:rFonts w:ascii="Times New Roman" w:eastAsia="Times New Roman" w:hAnsi="Times New Roman" w:cs="Times New Roman"/>
      <w:sz w:val="24"/>
      <w:szCs w:val="20"/>
      <w:lang w:val="pl-PL" w:eastAsia="pl-PL"/>
    </w:rPr>
  </w:style>
  <w:style w:type="paragraph" w:styleId="32">
    <w:name w:val="Body Text Indent 3"/>
    <w:basedOn w:val="a"/>
    <w:link w:val="33"/>
    <w:rsid w:val="00744513"/>
    <w:pPr>
      <w:widowControl/>
      <w:ind w:left="2832" w:firstLine="2838"/>
      <w:jc w:val="right"/>
    </w:pPr>
    <w:rPr>
      <w:rFonts w:ascii="Times New Roman" w:eastAsia="Times New Roman" w:hAnsi="Times New Roman" w:cs="Times New Roman"/>
      <w:sz w:val="24"/>
      <w:szCs w:val="20"/>
      <w:lang w:val="pl-PL" w:eastAsia="pl-PL"/>
    </w:rPr>
  </w:style>
  <w:style w:type="character" w:customStyle="1" w:styleId="33">
    <w:name w:val="Основной текст с отступом 3 Знак"/>
    <w:basedOn w:val="a0"/>
    <w:link w:val="32"/>
    <w:rsid w:val="00744513"/>
    <w:rPr>
      <w:rFonts w:ascii="Times New Roman" w:eastAsia="Times New Roman" w:hAnsi="Times New Roman" w:cs="Times New Roman"/>
      <w:sz w:val="24"/>
      <w:szCs w:val="20"/>
      <w:lang w:val="pl-PL" w:eastAsia="pl-PL"/>
    </w:rPr>
  </w:style>
  <w:style w:type="paragraph" w:styleId="aff">
    <w:name w:val="Body Text Indent"/>
    <w:basedOn w:val="a"/>
    <w:link w:val="aff0"/>
    <w:rsid w:val="00744513"/>
    <w:pPr>
      <w:widowControl/>
      <w:spacing w:line="360" w:lineRule="auto"/>
      <w:ind w:left="360"/>
      <w:jc w:val="both"/>
    </w:pPr>
    <w:rPr>
      <w:rFonts w:ascii="Times New Roman" w:eastAsia="Times New Roman" w:hAnsi="Times New Roman" w:cs="Times New Roman"/>
      <w:sz w:val="24"/>
      <w:szCs w:val="20"/>
      <w:lang w:val="pl-PL" w:eastAsia="pl-PL"/>
    </w:rPr>
  </w:style>
  <w:style w:type="character" w:customStyle="1" w:styleId="aff0">
    <w:name w:val="Основной текст с отступом Знак"/>
    <w:basedOn w:val="a0"/>
    <w:link w:val="aff"/>
    <w:rsid w:val="00744513"/>
    <w:rPr>
      <w:rFonts w:ascii="Times New Roman" w:eastAsia="Times New Roman" w:hAnsi="Times New Roman" w:cs="Times New Roman"/>
      <w:sz w:val="24"/>
      <w:szCs w:val="20"/>
      <w:lang w:val="pl-PL" w:eastAsia="pl-PL"/>
    </w:rPr>
  </w:style>
  <w:style w:type="paragraph" w:customStyle="1" w:styleId="Akapitzlist1">
    <w:name w:val="Akapit z listą1"/>
    <w:basedOn w:val="a"/>
    <w:rsid w:val="00744513"/>
    <w:pPr>
      <w:widowControl/>
      <w:ind w:left="708"/>
    </w:pPr>
    <w:rPr>
      <w:rFonts w:ascii="Times New Roman" w:eastAsia="Times New Roman" w:hAnsi="Times New Roman" w:cs="Times New Roman"/>
      <w:sz w:val="20"/>
      <w:szCs w:val="20"/>
      <w:lang w:val="pl-PL" w:eastAsia="pl-PL"/>
    </w:rPr>
  </w:style>
  <w:style w:type="paragraph" w:styleId="aff1">
    <w:name w:val="List Paragraph"/>
    <w:basedOn w:val="a"/>
    <w:qFormat/>
    <w:rsid w:val="00744513"/>
    <w:pPr>
      <w:widowControl/>
      <w:ind w:left="708"/>
    </w:pPr>
    <w:rPr>
      <w:rFonts w:ascii="Times New Roman" w:eastAsia="Times New Roman" w:hAnsi="Times New Roman" w:cs="Times New Roman"/>
      <w:sz w:val="20"/>
      <w:szCs w:val="20"/>
      <w:lang w:val="pl-PL" w:eastAsia="pl-PL"/>
    </w:rPr>
  </w:style>
  <w:style w:type="character" w:styleId="aff2">
    <w:name w:val="Unresolved Mention"/>
    <w:basedOn w:val="a0"/>
    <w:uiPriority w:val="99"/>
    <w:semiHidden/>
    <w:unhideWhenUsed/>
    <w:rsid w:val="00476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mailto:sbekzod@yahoo.com" TargetMode="Externa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emf"/><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6</cp:revision>
  <dcterms:created xsi:type="dcterms:W3CDTF">2019-01-09T14:13:00Z</dcterms:created>
  <dcterms:modified xsi:type="dcterms:W3CDTF">2019-01-09T14:21:00Z</dcterms:modified>
</cp:coreProperties>
</file>